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679B6" w14:textId="57CEE66E" w:rsidR="008F00A0" w:rsidRDefault="008F00A0" w:rsidP="00942FA8">
      <w:pPr>
        <w:spacing w:after="120" w:line="240" w:lineRule="auto"/>
        <w:jc w:val="right"/>
        <w:rPr>
          <w:rFonts w:cstheme="minorHAnsi"/>
          <w:sz w:val="24"/>
          <w:szCs w:val="24"/>
          <w:lang w:val="lv-LV"/>
        </w:rPr>
      </w:pPr>
      <w:r w:rsidRPr="00BE5FE3">
        <w:rPr>
          <w:rFonts w:cstheme="minorHAnsi"/>
          <w:sz w:val="24"/>
          <w:szCs w:val="24"/>
          <w:lang w:val="lv-LV"/>
        </w:rPr>
        <w:t>Apstiprināta ar</w:t>
      </w:r>
    </w:p>
    <w:p w14:paraId="7CEE91E4" w14:textId="5A1C7F5B" w:rsidR="00633878" w:rsidRPr="00BE5FE3" w:rsidRDefault="00633878" w:rsidP="00942FA8">
      <w:pPr>
        <w:spacing w:after="120" w:line="240" w:lineRule="auto"/>
        <w:jc w:val="right"/>
        <w:rPr>
          <w:rFonts w:cstheme="minorHAnsi"/>
          <w:sz w:val="24"/>
          <w:szCs w:val="24"/>
          <w:lang w:val="lv-LV"/>
        </w:rPr>
      </w:pPr>
      <w:r>
        <w:rPr>
          <w:rFonts w:cstheme="minorHAnsi"/>
          <w:sz w:val="24"/>
          <w:szCs w:val="24"/>
          <w:lang w:val="lv-LV"/>
        </w:rPr>
        <w:t>VAS “Latvijas Pasts” padomes</w:t>
      </w:r>
    </w:p>
    <w:p w14:paraId="6C71BFA9" w14:textId="3E909BCF" w:rsidR="00633878" w:rsidRDefault="008F00A0" w:rsidP="00942FA8">
      <w:pPr>
        <w:spacing w:after="120" w:line="240" w:lineRule="auto"/>
        <w:jc w:val="right"/>
        <w:rPr>
          <w:rFonts w:cstheme="minorHAnsi"/>
          <w:sz w:val="24"/>
          <w:szCs w:val="24"/>
          <w:lang w:val="lv-LV"/>
        </w:rPr>
      </w:pPr>
      <w:r w:rsidRPr="00BE5FE3">
        <w:rPr>
          <w:rFonts w:cstheme="minorHAnsi"/>
          <w:sz w:val="24"/>
          <w:szCs w:val="24"/>
          <w:lang w:val="lv-LV"/>
        </w:rPr>
        <w:t xml:space="preserve">2023.gada </w:t>
      </w:r>
      <w:r w:rsidR="00F92BBF">
        <w:rPr>
          <w:rFonts w:cstheme="minorHAnsi"/>
          <w:sz w:val="24"/>
          <w:szCs w:val="24"/>
          <w:lang w:val="lv-LV"/>
        </w:rPr>
        <w:t>4</w:t>
      </w:r>
      <w:r w:rsidRPr="00BE5FE3">
        <w:rPr>
          <w:rFonts w:cstheme="minorHAnsi"/>
          <w:sz w:val="24"/>
          <w:szCs w:val="24"/>
          <w:lang w:val="lv-LV"/>
        </w:rPr>
        <w:t>.</w:t>
      </w:r>
      <w:r w:rsidR="00F92BBF">
        <w:rPr>
          <w:rFonts w:cstheme="minorHAnsi"/>
          <w:sz w:val="24"/>
          <w:szCs w:val="24"/>
          <w:lang w:val="lv-LV"/>
        </w:rPr>
        <w:t xml:space="preserve">oktobra </w:t>
      </w:r>
      <w:r w:rsidRPr="00BE5FE3">
        <w:rPr>
          <w:rFonts w:cstheme="minorHAnsi"/>
          <w:sz w:val="24"/>
          <w:szCs w:val="24"/>
          <w:lang w:val="lv-LV"/>
        </w:rPr>
        <w:t xml:space="preserve">lēmumu </w:t>
      </w:r>
      <w:r w:rsidR="00633878">
        <w:rPr>
          <w:rFonts w:cstheme="minorHAnsi"/>
          <w:sz w:val="24"/>
          <w:szCs w:val="24"/>
          <w:lang w:val="lv-LV"/>
        </w:rPr>
        <w:t>Nr.</w:t>
      </w:r>
      <w:r w:rsidR="00F92BBF">
        <w:rPr>
          <w:rFonts w:cstheme="minorHAnsi"/>
          <w:sz w:val="24"/>
          <w:szCs w:val="24"/>
          <w:lang w:val="lv-LV"/>
        </w:rPr>
        <w:t>2</w:t>
      </w:r>
    </w:p>
    <w:p w14:paraId="45EEC0A0" w14:textId="6911DF28" w:rsidR="008F00A0" w:rsidRPr="00BE5FE3" w:rsidRDefault="008F00A0" w:rsidP="00942FA8">
      <w:pPr>
        <w:spacing w:after="120" w:line="240" w:lineRule="auto"/>
        <w:jc w:val="right"/>
        <w:rPr>
          <w:rFonts w:cstheme="minorHAnsi"/>
          <w:sz w:val="24"/>
          <w:szCs w:val="24"/>
          <w:lang w:val="lv-LV"/>
        </w:rPr>
      </w:pPr>
      <w:r w:rsidRPr="00BE5FE3">
        <w:rPr>
          <w:rFonts w:cstheme="minorHAnsi"/>
          <w:sz w:val="24"/>
          <w:szCs w:val="24"/>
          <w:lang w:val="lv-LV"/>
        </w:rPr>
        <w:t>(Protokols Nr.</w:t>
      </w:r>
      <w:r w:rsidR="00F92BBF">
        <w:rPr>
          <w:rFonts w:cstheme="minorHAnsi"/>
          <w:sz w:val="24"/>
          <w:szCs w:val="24"/>
          <w:lang w:val="lv-LV"/>
        </w:rPr>
        <w:t>20</w:t>
      </w:r>
      <w:r w:rsidRPr="00BE5FE3">
        <w:rPr>
          <w:rFonts w:cstheme="minorHAnsi"/>
          <w:sz w:val="24"/>
          <w:szCs w:val="24"/>
          <w:lang w:val="lv-LV"/>
        </w:rPr>
        <w:t>)</w:t>
      </w:r>
    </w:p>
    <w:p w14:paraId="583F54B6" w14:textId="77777777" w:rsidR="008F00A0" w:rsidRPr="00BE5FE3" w:rsidRDefault="008F00A0" w:rsidP="00942FA8">
      <w:pPr>
        <w:spacing w:after="120" w:line="240" w:lineRule="auto"/>
        <w:rPr>
          <w:rFonts w:cstheme="minorHAnsi"/>
          <w:sz w:val="24"/>
          <w:szCs w:val="24"/>
          <w:lang w:val="lv-LV"/>
        </w:rPr>
      </w:pPr>
    </w:p>
    <w:p w14:paraId="260469B1" w14:textId="77777777" w:rsidR="008F00A0" w:rsidRPr="00BE5FE3" w:rsidRDefault="008F00A0" w:rsidP="00942FA8">
      <w:pPr>
        <w:spacing w:line="240" w:lineRule="auto"/>
        <w:rPr>
          <w:rFonts w:cstheme="minorHAnsi"/>
          <w:lang w:val="lv-LV"/>
        </w:rPr>
      </w:pPr>
    </w:p>
    <w:p w14:paraId="66C5A89F" w14:textId="77777777" w:rsidR="008F00A0" w:rsidRPr="00BE5FE3" w:rsidRDefault="008F00A0" w:rsidP="00942FA8">
      <w:pPr>
        <w:spacing w:line="240" w:lineRule="auto"/>
        <w:rPr>
          <w:rFonts w:cstheme="minorHAnsi"/>
          <w:lang w:val="lv-LV"/>
        </w:rPr>
      </w:pPr>
    </w:p>
    <w:p w14:paraId="61CA8AAE" w14:textId="77777777" w:rsidR="008F00A0" w:rsidRPr="00BE5FE3" w:rsidRDefault="008F00A0" w:rsidP="00942FA8">
      <w:pPr>
        <w:spacing w:line="240" w:lineRule="auto"/>
        <w:rPr>
          <w:rFonts w:cstheme="minorHAnsi"/>
          <w:lang w:val="lv-LV"/>
        </w:rPr>
      </w:pPr>
    </w:p>
    <w:p w14:paraId="09CCC369" w14:textId="77777777" w:rsidR="008F00A0" w:rsidRPr="00BE5FE3" w:rsidRDefault="008F00A0" w:rsidP="00942FA8">
      <w:pPr>
        <w:spacing w:line="240" w:lineRule="auto"/>
        <w:rPr>
          <w:rFonts w:cstheme="minorHAnsi"/>
          <w:lang w:val="lv-LV"/>
        </w:rPr>
      </w:pPr>
    </w:p>
    <w:p w14:paraId="068FA05F" w14:textId="77777777" w:rsidR="008F00A0" w:rsidRPr="00BE5FE3" w:rsidRDefault="008F00A0" w:rsidP="00942FA8">
      <w:pPr>
        <w:spacing w:line="240" w:lineRule="auto"/>
        <w:rPr>
          <w:rFonts w:cstheme="minorHAnsi"/>
          <w:lang w:val="lv-LV"/>
        </w:rPr>
      </w:pPr>
    </w:p>
    <w:p w14:paraId="01CD806F" w14:textId="21A7DF50" w:rsidR="008F00A0" w:rsidRPr="00BE5FE3" w:rsidRDefault="008F00A0" w:rsidP="00942FA8">
      <w:pPr>
        <w:spacing w:line="240" w:lineRule="auto"/>
        <w:jc w:val="center"/>
        <w:rPr>
          <w:rFonts w:cstheme="minorHAnsi"/>
          <w:lang w:val="lv-LV"/>
        </w:rPr>
      </w:pPr>
      <w:r w:rsidRPr="00BE5FE3">
        <w:rPr>
          <w:rFonts w:cstheme="minorHAnsi"/>
          <w:noProof/>
          <w:lang w:val="lv-LV"/>
        </w:rPr>
        <w:drawing>
          <wp:inline distT="0" distB="0" distL="0" distR="0" wp14:anchorId="54198705" wp14:editId="0B8E674E">
            <wp:extent cx="3362325" cy="955461"/>
            <wp:effectExtent l="0" t="0" r="0" b="0"/>
            <wp:docPr id="30172153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3345" cy="9642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EC8237" w14:textId="1023B252" w:rsidR="008F00A0" w:rsidRPr="00BE5FE3" w:rsidRDefault="008F00A0" w:rsidP="00942FA8">
      <w:pPr>
        <w:spacing w:line="240" w:lineRule="auto"/>
        <w:jc w:val="center"/>
        <w:rPr>
          <w:rFonts w:cstheme="minorHAnsi"/>
          <w:b/>
          <w:bCs/>
          <w:sz w:val="44"/>
          <w:szCs w:val="44"/>
          <w:lang w:val="lv-LV"/>
        </w:rPr>
      </w:pPr>
      <w:r w:rsidRPr="00BE5FE3">
        <w:rPr>
          <w:rFonts w:cstheme="minorHAnsi"/>
          <w:b/>
          <w:bCs/>
          <w:sz w:val="44"/>
          <w:szCs w:val="44"/>
          <w:lang w:val="lv-LV"/>
        </w:rPr>
        <w:t>VAS “Latvijas Pasts”</w:t>
      </w:r>
    </w:p>
    <w:p w14:paraId="172C28D0" w14:textId="33BB4BF6" w:rsidR="000A72B1" w:rsidRPr="00BE5FE3" w:rsidRDefault="008F00A0" w:rsidP="00942FA8">
      <w:pPr>
        <w:spacing w:line="240" w:lineRule="auto"/>
        <w:jc w:val="center"/>
        <w:rPr>
          <w:rFonts w:cstheme="minorHAnsi"/>
          <w:b/>
          <w:bCs/>
          <w:sz w:val="44"/>
          <w:szCs w:val="44"/>
          <w:lang w:val="lv-LV"/>
        </w:rPr>
      </w:pPr>
      <w:r w:rsidRPr="00BE5FE3">
        <w:rPr>
          <w:rFonts w:cstheme="minorHAnsi"/>
          <w:b/>
          <w:bCs/>
          <w:sz w:val="44"/>
          <w:szCs w:val="44"/>
          <w:lang w:val="lv-LV"/>
        </w:rPr>
        <w:t>VALDES LOCEKĻU ATALGOJUMA POLITIKA</w:t>
      </w:r>
    </w:p>
    <w:p w14:paraId="335DE25A" w14:textId="33C16333" w:rsidR="008F00A0" w:rsidRPr="00BE5FE3" w:rsidRDefault="008F00A0" w:rsidP="00942FA8">
      <w:pPr>
        <w:spacing w:line="240" w:lineRule="auto"/>
        <w:jc w:val="center"/>
        <w:rPr>
          <w:rFonts w:cstheme="minorHAnsi"/>
          <w:sz w:val="32"/>
          <w:szCs w:val="32"/>
          <w:lang w:val="lv-LV"/>
        </w:rPr>
      </w:pPr>
    </w:p>
    <w:p w14:paraId="1D076077" w14:textId="3F0C6CE7" w:rsidR="008F00A0" w:rsidRPr="00BE5FE3" w:rsidRDefault="008F00A0" w:rsidP="00942FA8">
      <w:pPr>
        <w:spacing w:line="240" w:lineRule="auto"/>
        <w:rPr>
          <w:rFonts w:cstheme="minorHAnsi"/>
          <w:sz w:val="32"/>
          <w:szCs w:val="32"/>
          <w:lang w:val="lv-LV"/>
        </w:rPr>
      </w:pPr>
      <w:r w:rsidRPr="00BE5FE3">
        <w:rPr>
          <w:rFonts w:cstheme="minorHAnsi"/>
          <w:sz w:val="32"/>
          <w:szCs w:val="32"/>
          <w:lang w:val="lv-LV"/>
        </w:rPr>
        <w:br w:type="page"/>
      </w:r>
    </w:p>
    <w:p w14:paraId="0409FA50" w14:textId="2B4416C2" w:rsidR="008F00A0" w:rsidRPr="007E7DF5" w:rsidRDefault="008F00A0" w:rsidP="00942FA8">
      <w:pPr>
        <w:spacing w:line="240" w:lineRule="auto"/>
        <w:jc w:val="both"/>
        <w:rPr>
          <w:rFonts w:cstheme="minorHAnsi"/>
          <w:b/>
          <w:bCs/>
          <w:sz w:val="32"/>
          <w:szCs w:val="32"/>
          <w:lang w:val="lv-LV"/>
        </w:rPr>
      </w:pPr>
      <w:r w:rsidRPr="007E7DF5">
        <w:rPr>
          <w:rFonts w:cstheme="minorHAnsi"/>
          <w:b/>
          <w:bCs/>
          <w:sz w:val="32"/>
          <w:szCs w:val="32"/>
          <w:lang w:val="lv-LV"/>
        </w:rPr>
        <w:lastRenderedPageBreak/>
        <w:t>SATURA RĀDĪTĀJS</w:t>
      </w:r>
    </w:p>
    <w:p w14:paraId="34D97803" w14:textId="77777777" w:rsidR="0099637A" w:rsidRPr="007E7DF5" w:rsidRDefault="0099637A" w:rsidP="00942FA8">
      <w:pPr>
        <w:spacing w:line="240" w:lineRule="auto"/>
        <w:jc w:val="both"/>
        <w:rPr>
          <w:rFonts w:cstheme="minorHAnsi"/>
          <w:lang w:val="lv-LV"/>
        </w:rPr>
      </w:pPr>
    </w:p>
    <w:p w14:paraId="2AACA74D" w14:textId="6E29D7A8" w:rsidR="008F00A0" w:rsidRPr="007E7DF5" w:rsidRDefault="008F00A0" w:rsidP="00942FA8">
      <w:pPr>
        <w:spacing w:line="240" w:lineRule="auto"/>
        <w:jc w:val="both"/>
        <w:rPr>
          <w:rFonts w:cstheme="minorHAnsi"/>
          <w:sz w:val="24"/>
          <w:szCs w:val="24"/>
          <w:lang w:val="lv-LV"/>
        </w:rPr>
      </w:pPr>
      <w:r w:rsidRPr="007E7DF5">
        <w:rPr>
          <w:rFonts w:cstheme="minorHAnsi"/>
          <w:sz w:val="24"/>
          <w:szCs w:val="24"/>
          <w:lang w:val="lv-LV"/>
        </w:rPr>
        <w:t>Definīcijas</w:t>
      </w:r>
    </w:p>
    <w:p w14:paraId="23D7A032" w14:textId="5643374C" w:rsidR="008F00A0" w:rsidRPr="007E7DF5" w:rsidRDefault="008F00A0" w:rsidP="00942FA8">
      <w:pPr>
        <w:spacing w:line="240" w:lineRule="auto"/>
        <w:jc w:val="both"/>
        <w:rPr>
          <w:rFonts w:cstheme="minorHAnsi"/>
          <w:sz w:val="24"/>
          <w:szCs w:val="24"/>
          <w:lang w:val="lv-LV"/>
        </w:rPr>
      </w:pPr>
      <w:r w:rsidRPr="007E7DF5">
        <w:rPr>
          <w:rFonts w:cstheme="minorHAnsi"/>
          <w:sz w:val="24"/>
          <w:szCs w:val="24"/>
          <w:lang w:val="lv-LV"/>
        </w:rPr>
        <w:t>1 Politikas uzdevumi un pamatprincipi</w:t>
      </w:r>
    </w:p>
    <w:p w14:paraId="2BB6F27E" w14:textId="6BAD54C5" w:rsidR="008F00A0" w:rsidRPr="007E7DF5" w:rsidRDefault="008F00A0" w:rsidP="00942FA8">
      <w:pPr>
        <w:spacing w:line="240" w:lineRule="auto"/>
        <w:jc w:val="both"/>
        <w:rPr>
          <w:rFonts w:cstheme="minorHAnsi"/>
          <w:sz w:val="24"/>
          <w:szCs w:val="24"/>
          <w:lang w:val="lv-LV"/>
        </w:rPr>
      </w:pPr>
      <w:r w:rsidRPr="007E7DF5">
        <w:rPr>
          <w:rFonts w:cstheme="minorHAnsi"/>
          <w:sz w:val="24"/>
          <w:szCs w:val="24"/>
          <w:lang w:val="lv-LV"/>
        </w:rPr>
        <w:t>2 Atalgojuma struktūras apraksts</w:t>
      </w:r>
    </w:p>
    <w:p w14:paraId="1CE667C5" w14:textId="7399F490" w:rsidR="008F00A0" w:rsidRPr="007E7DF5" w:rsidRDefault="008F00A0" w:rsidP="00942FA8">
      <w:pPr>
        <w:spacing w:line="240" w:lineRule="auto"/>
        <w:jc w:val="both"/>
        <w:rPr>
          <w:rFonts w:cstheme="minorHAnsi"/>
          <w:sz w:val="24"/>
          <w:szCs w:val="24"/>
          <w:lang w:val="lv-LV"/>
        </w:rPr>
      </w:pPr>
      <w:r w:rsidRPr="007E7DF5">
        <w:rPr>
          <w:rFonts w:cstheme="minorHAnsi"/>
          <w:sz w:val="24"/>
          <w:szCs w:val="24"/>
          <w:lang w:val="lv-LV"/>
        </w:rPr>
        <w:t>3 Darba snieguma rādītāji (KPI)</w:t>
      </w:r>
    </w:p>
    <w:p w14:paraId="6FD406E4" w14:textId="579D7DAC" w:rsidR="008F00A0" w:rsidRPr="007E7DF5" w:rsidRDefault="00811622" w:rsidP="00942FA8">
      <w:pPr>
        <w:spacing w:line="240" w:lineRule="auto"/>
        <w:jc w:val="both"/>
        <w:rPr>
          <w:rFonts w:cstheme="minorHAnsi"/>
          <w:sz w:val="24"/>
          <w:szCs w:val="24"/>
          <w:lang w:val="lv-LV"/>
        </w:rPr>
      </w:pPr>
      <w:r w:rsidRPr="00AC7C62">
        <w:rPr>
          <w:rFonts w:cstheme="minorHAnsi"/>
          <w:sz w:val="24"/>
          <w:szCs w:val="24"/>
          <w:lang w:val="lv-LV"/>
        </w:rPr>
        <w:t>4</w:t>
      </w:r>
      <w:r w:rsidR="008F00A0" w:rsidRPr="00AC7C62">
        <w:rPr>
          <w:rFonts w:cstheme="minorHAnsi"/>
          <w:sz w:val="24"/>
          <w:szCs w:val="24"/>
          <w:lang w:val="lv-LV"/>
        </w:rPr>
        <w:t xml:space="preserve"> </w:t>
      </w:r>
      <w:r w:rsidR="00296560" w:rsidRPr="00AC7C62">
        <w:rPr>
          <w:rFonts w:cstheme="minorHAnsi"/>
          <w:sz w:val="24"/>
          <w:szCs w:val="24"/>
          <w:lang w:val="lv-LV"/>
        </w:rPr>
        <w:t>A</w:t>
      </w:r>
      <w:r w:rsidR="008F00A0" w:rsidRPr="00AC7C62">
        <w:rPr>
          <w:rFonts w:cstheme="minorHAnsi"/>
          <w:sz w:val="24"/>
          <w:szCs w:val="24"/>
          <w:lang w:val="lv-LV"/>
        </w:rPr>
        <w:t xml:space="preserve">r </w:t>
      </w:r>
      <w:r w:rsidR="00296560" w:rsidRPr="00AC7C62">
        <w:rPr>
          <w:rFonts w:cstheme="minorHAnsi"/>
          <w:sz w:val="24"/>
          <w:szCs w:val="24"/>
          <w:lang w:val="lv-LV"/>
        </w:rPr>
        <w:t>valdes locekļu pilnvaru termiņa</w:t>
      </w:r>
      <w:r w:rsidR="008F00A0" w:rsidRPr="00AC7C62">
        <w:rPr>
          <w:rFonts w:cstheme="minorHAnsi"/>
          <w:sz w:val="24"/>
          <w:szCs w:val="24"/>
          <w:lang w:val="lv-LV"/>
        </w:rPr>
        <w:t xml:space="preserve"> izbeigšanu saistīt</w:t>
      </w:r>
      <w:r w:rsidR="00296560" w:rsidRPr="00AC7C62">
        <w:rPr>
          <w:rFonts w:cstheme="minorHAnsi"/>
          <w:sz w:val="24"/>
          <w:szCs w:val="24"/>
          <w:lang w:val="lv-LV"/>
        </w:rPr>
        <w:t>o</w:t>
      </w:r>
      <w:r w:rsidR="008F00A0" w:rsidRPr="00AC7C62">
        <w:rPr>
          <w:rFonts w:cstheme="minorHAnsi"/>
          <w:sz w:val="24"/>
          <w:szCs w:val="24"/>
          <w:lang w:val="lv-LV"/>
        </w:rPr>
        <w:t xml:space="preserve"> nosacījum</w:t>
      </w:r>
      <w:r w:rsidR="00296560" w:rsidRPr="00AC7C62">
        <w:rPr>
          <w:rFonts w:cstheme="minorHAnsi"/>
          <w:sz w:val="24"/>
          <w:szCs w:val="24"/>
          <w:lang w:val="lv-LV"/>
        </w:rPr>
        <w:t>u</w:t>
      </w:r>
      <w:r w:rsidR="008F00A0" w:rsidRPr="00AC7C62">
        <w:rPr>
          <w:rFonts w:cstheme="minorHAnsi"/>
          <w:sz w:val="24"/>
          <w:szCs w:val="24"/>
          <w:lang w:val="lv-LV"/>
        </w:rPr>
        <w:t xml:space="preserve"> maksājumi</w:t>
      </w:r>
    </w:p>
    <w:p w14:paraId="4B56DB34" w14:textId="0E209A92" w:rsidR="008F00A0" w:rsidRPr="007E7DF5" w:rsidRDefault="00811622" w:rsidP="00942FA8">
      <w:pPr>
        <w:spacing w:line="240" w:lineRule="auto"/>
        <w:jc w:val="both"/>
        <w:rPr>
          <w:rFonts w:cstheme="minorHAnsi"/>
          <w:sz w:val="24"/>
          <w:szCs w:val="24"/>
          <w:lang w:val="lv-LV"/>
        </w:rPr>
      </w:pPr>
      <w:r w:rsidRPr="007E7DF5">
        <w:rPr>
          <w:rFonts w:cstheme="minorHAnsi"/>
          <w:sz w:val="24"/>
          <w:szCs w:val="24"/>
          <w:lang w:val="lv-LV"/>
        </w:rPr>
        <w:t>5</w:t>
      </w:r>
      <w:r w:rsidR="008F00A0" w:rsidRPr="007E7DF5">
        <w:rPr>
          <w:rFonts w:cstheme="minorHAnsi"/>
          <w:sz w:val="24"/>
          <w:szCs w:val="24"/>
          <w:lang w:val="lv-LV"/>
        </w:rPr>
        <w:t xml:space="preserve"> Atalgojuma ziņojums</w:t>
      </w:r>
    </w:p>
    <w:p w14:paraId="5ABAB22F" w14:textId="13D68B03" w:rsidR="008F00A0" w:rsidRPr="007E7DF5" w:rsidRDefault="00811622" w:rsidP="00942FA8">
      <w:pPr>
        <w:spacing w:line="240" w:lineRule="auto"/>
        <w:jc w:val="both"/>
        <w:rPr>
          <w:rFonts w:cstheme="minorHAnsi"/>
          <w:sz w:val="24"/>
          <w:szCs w:val="24"/>
          <w:lang w:val="lv-LV"/>
        </w:rPr>
      </w:pPr>
      <w:r w:rsidRPr="007E7DF5">
        <w:rPr>
          <w:rFonts w:cstheme="minorHAnsi"/>
          <w:sz w:val="24"/>
          <w:szCs w:val="24"/>
          <w:lang w:val="lv-LV"/>
        </w:rPr>
        <w:t>6</w:t>
      </w:r>
      <w:r w:rsidR="008F00A0" w:rsidRPr="007E7DF5">
        <w:rPr>
          <w:rFonts w:cstheme="minorHAnsi"/>
          <w:sz w:val="24"/>
          <w:szCs w:val="24"/>
          <w:lang w:val="lv-LV"/>
        </w:rPr>
        <w:t xml:space="preserve"> Politikas noteikšana, pārskatīšana un piemērošana</w:t>
      </w:r>
    </w:p>
    <w:p w14:paraId="2D7110A6" w14:textId="659881F9" w:rsidR="0099637A" w:rsidRPr="007E7DF5" w:rsidRDefault="0099637A" w:rsidP="00942FA8">
      <w:pPr>
        <w:spacing w:line="240" w:lineRule="auto"/>
        <w:jc w:val="both"/>
        <w:rPr>
          <w:rFonts w:cstheme="minorHAnsi"/>
          <w:sz w:val="24"/>
          <w:szCs w:val="24"/>
          <w:lang w:val="lv-LV"/>
        </w:rPr>
      </w:pPr>
    </w:p>
    <w:p w14:paraId="26BF2D36" w14:textId="0F363ED8" w:rsidR="0099637A" w:rsidRPr="007E7DF5" w:rsidRDefault="0099637A" w:rsidP="00942FA8">
      <w:pPr>
        <w:spacing w:line="240" w:lineRule="auto"/>
        <w:rPr>
          <w:rFonts w:cstheme="minorHAnsi"/>
          <w:sz w:val="24"/>
          <w:szCs w:val="24"/>
          <w:lang w:val="lv-LV"/>
        </w:rPr>
      </w:pPr>
      <w:r w:rsidRPr="007E7DF5">
        <w:rPr>
          <w:rFonts w:cstheme="minorHAnsi"/>
          <w:sz w:val="24"/>
          <w:szCs w:val="24"/>
          <w:lang w:val="lv-LV"/>
        </w:rPr>
        <w:br w:type="page"/>
      </w:r>
    </w:p>
    <w:p w14:paraId="3A0AC007" w14:textId="289FBFDE" w:rsidR="0099637A" w:rsidRPr="007E7DF5" w:rsidRDefault="0099637A" w:rsidP="00942FA8">
      <w:pPr>
        <w:spacing w:line="240" w:lineRule="auto"/>
        <w:jc w:val="both"/>
        <w:rPr>
          <w:rFonts w:cstheme="minorHAnsi"/>
          <w:b/>
          <w:bCs/>
          <w:sz w:val="24"/>
          <w:szCs w:val="24"/>
          <w:lang w:val="lv-LV"/>
        </w:rPr>
      </w:pPr>
      <w:r w:rsidRPr="007E7DF5">
        <w:rPr>
          <w:rFonts w:cstheme="minorHAnsi"/>
          <w:b/>
          <w:bCs/>
          <w:sz w:val="24"/>
          <w:szCs w:val="24"/>
          <w:lang w:val="lv-LV"/>
        </w:rPr>
        <w:lastRenderedPageBreak/>
        <w:t>DEFINĪCIJAS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6681"/>
      </w:tblGrid>
      <w:tr w:rsidR="007E7DF5" w:rsidRPr="007E7DF5" w14:paraId="1A634140" w14:textId="77777777" w:rsidTr="0099637A">
        <w:tc>
          <w:tcPr>
            <w:tcW w:w="1615" w:type="dxa"/>
          </w:tcPr>
          <w:p w14:paraId="7952825D" w14:textId="7DA03096" w:rsidR="0099637A" w:rsidRPr="007E7DF5" w:rsidRDefault="0099637A" w:rsidP="00942FA8">
            <w:pPr>
              <w:spacing w:after="240"/>
              <w:jc w:val="both"/>
              <w:rPr>
                <w:rFonts w:cstheme="minorHAnsi"/>
                <w:lang w:val="lv-LV"/>
              </w:rPr>
            </w:pPr>
            <w:r w:rsidRPr="007E7DF5">
              <w:rPr>
                <w:rFonts w:cstheme="minorHAnsi"/>
                <w:lang w:val="lv-LV"/>
              </w:rPr>
              <w:t>Sabiedrība</w:t>
            </w:r>
          </w:p>
        </w:tc>
        <w:tc>
          <w:tcPr>
            <w:tcW w:w="6681" w:type="dxa"/>
          </w:tcPr>
          <w:p w14:paraId="6D60171A" w14:textId="72DF1413" w:rsidR="0099637A" w:rsidRPr="007E7DF5" w:rsidRDefault="0099637A" w:rsidP="00942FA8">
            <w:pPr>
              <w:spacing w:after="240"/>
              <w:jc w:val="both"/>
              <w:rPr>
                <w:rFonts w:cstheme="minorHAnsi"/>
                <w:lang w:val="lv-LV"/>
              </w:rPr>
            </w:pPr>
            <w:r w:rsidRPr="007E7DF5">
              <w:rPr>
                <w:rFonts w:cstheme="minorHAnsi"/>
                <w:lang w:val="lv-LV"/>
              </w:rPr>
              <w:t xml:space="preserve">VAS “Latvijas Pasts”, </w:t>
            </w:r>
            <w:r w:rsidR="00C92F6E">
              <w:rPr>
                <w:rFonts w:cstheme="minorHAnsi"/>
                <w:lang w:val="lv-LV"/>
              </w:rPr>
              <w:t xml:space="preserve">vienotais </w:t>
            </w:r>
            <w:r w:rsidRPr="007E7DF5">
              <w:rPr>
                <w:rFonts w:cstheme="minorHAnsi"/>
                <w:lang w:val="lv-LV"/>
              </w:rPr>
              <w:t>reģ</w:t>
            </w:r>
            <w:r w:rsidR="00C92F6E">
              <w:rPr>
                <w:rFonts w:cstheme="minorHAnsi"/>
                <w:lang w:val="lv-LV"/>
              </w:rPr>
              <w:t>istrācijas</w:t>
            </w:r>
            <w:r w:rsidRPr="007E7DF5">
              <w:rPr>
                <w:rFonts w:cstheme="minorHAnsi"/>
                <w:lang w:val="lv-LV"/>
              </w:rPr>
              <w:t xml:space="preserve"> </w:t>
            </w:r>
            <w:r w:rsidR="00C92F6E">
              <w:rPr>
                <w:rFonts w:cstheme="minorHAnsi"/>
                <w:lang w:val="lv-LV"/>
              </w:rPr>
              <w:t>N</w:t>
            </w:r>
            <w:r w:rsidRPr="007E7DF5">
              <w:rPr>
                <w:rFonts w:cstheme="minorHAnsi"/>
                <w:lang w:val="lv-LV"/>
              </w:rPr>
              <w:t>r.40003052790</w:t>
            </w:r>
          </w:p>
        </w:tc>
      </w:tr>
      <w:tr w:rsidR="007E7DF5" w:rsidRPr="007E7DF5" w14:paraId="7E1A1A80" w14:textId="77777777" w:rsidTr="0099637A">
        <w:tc>
          <w:tcPr>
            <w:tcW w:w="1615" w:type="dxa"/>
          </w:tcPr>
          <w:p w14:paraId="6CCAF104" w14:textId="3BA9B811" w:rsidR="0099637A" w:rsidRPr="007E7DF5" w:rsidRDefault="0099637A" w:rsidP="00942FA8">
            <w:pPr>
              <w:spacing w:after="240"/>
              <w:jc w:val="both"/>
              <w:rPr>
                <w:rFonts w:cstheme="minorHAnsi"/>
                <w:lang w:val="lv-LV"/>
              </w:rPr>
            </w:pPr>
            <w:r w:rsidRPr="007E7DF5">
              <w:rPr>
                <w:rFonts w:cstheme="minorHAnsi"/>
                <w:lang w:val="lv-LV"/>
              </w:rPr>
              <w:t>Valde</w:t>
            </w:r>
          </w:p>
        </w:tc>
        <w:tc>
          <w:tcPr>
            <w:tcW w:w="6681" w:type="dxa"/>
          </w:tcPr>
          <w:p w14:paraId="408D0C35" w14:textId="66A0DB00" w:rsidR="0099637A" w:rsidRPr="007E7DF5" w:rsidRDefault="0099637A" w:rsidP="00942FA8">
            <w:pPr>
              <w:spacing w:after="240"/>
              <w:jc w:val="both"/>
              <w:rPr>
                <w:rFonts w:cstheme="minorHAnsi"/>
                <w:lang w:val="lv-LV"/>
              </w:rPr>
            </w:pPr>
            <w:r w:rsidRPr="007E7DF5">
              <w:rPr>
                <w:rFonts w:cstheme="minorHAnsi"/>
                <w:lang w:val="lv-LV"/>
              </w:rPr>
              <w:t>Sabiedrības valde</w:t>
            </w:r>
          </w:p>
        </w:tc>
      </w:tr>
      <w:tr w:rsidR="007E7DF5" w:rsidRPr="007E7DF5" w14:paraId="69F3DCBE" w14:textId="77777777" w:rsidTr="0099637A">
        <w:tc>
          <w:tcPr>
            <w:tcW w:w="1615" w:type="dxa"/>
          </w:tcPr>
          <w:p w14:paraId="4A77AB1E" w14:textId="799DE527" w:rsidR="0099637A" w:rsidRPr="007E7DF5" w:rsidRDefault="0099637A" w:rsidP="00942FA8">
            <w:pPr>
              <w:spacing w:after="240"/>
              <w:jc w:val="both"/>
              <w:rPr>
                <w:rFonts w:cstheme="minorHAnsi"/>
                <w:lang w:val="lv-LV"/>
              </w:rPr>
            </w:pPr>
            <w:r w:rsidRPr="007E7DF5">
              <w:rPr>
                <w:rFonts w:cstheme="minorHAnsi"/>
                <w:lang w:val="lv-LV"/>
              </w:rPr>
              <w:t>Padome</w:t>
            </w:r>
          </w:p>
        </w:tc>
        <w:tc>
          <w:tcPr>
            <w:tcW w:w="6681" w:type="dxa"/>
          </w:tcPr>
          <w:p w14:paraId="6BEC793C" w14:textId="43FE8F47" w:rsidR="0099637A" w:rsidRPr="007E7DF5" w:rsidRDefault="0099637A" w:rsidP="00942FA8">
            <w:pPr>
              <w:spacing w:after="240"/>
              <w:jc w:val="both"/>
              <w:rPr>
                <w:rFonts w:cstheme="minorHAnsi"/>
                <w:lang w:val="lv-LV"/>
              </w:rPr>
            </w:pPr>
            <w:r w:rsidRPr="007E7DF5">
              <w:rPr>
                <w:rFonts w:cstheme="minorHAnsi"/>
                <w:lang w:val="lv-LV"/>
              </w:rPr>
              <w:t>Sabiedrības padome</w:t>
            </w:r>
          </w:p>
        </w:tc>
      </w:tr>
      <w:tr w:rsidR="007E7DF5" w:rsidRPr="007E7DF5" w14:paraId="4FCCC229" w14:textId="77777777" w:rsidTr="0099637A">
        <w:tc>
          <w:tcPr>
            <w:tcW w:w="1615" w:type="dxa"/>
          </w:tcPr>
          <w:p w14:paraId="4B685F3B" w14:textId="7E2B4F42" w:rsidR="0099637A" w:rsidRPr="007E7DF5" w:rsidRDefault="0099637A" w:rsidP="00942FA8">
            <w:pPr>
              <w:spacing w:after="240"/>
              <w:jc w:val="both"/>
              <w:rPr>
                <w:rFonts w:cstheme="minorHAnsi"/>
                <w:lang w:val="lv-LV"/>
              </w:rPr>
            </w:pPr>
            <w:r w:rsidRPr="007E7DF5">
              <w:rPr>
                <w:rFonts w:cstheme="minorHAnsi"/>
                <w:lang w:val="lv-LV"/>
              </w:rPr>
              <w:t>Fiksētais atalgojums</w:t>
            </w:r>
          </w:p>
        </w:tc>
        <w:tc>
          <w:tcPr>
            <w:tcW w:w="6681" w:type="dxa"/>
          </w:tcPr>
          <w:p w14:paraId="7E1A3E16" w14:textId="7D9BA50B" w:rsidR="0099637A" w:rsidRPr="007E7DF5" w:rsidRDefault="0099637A" w:rsidP="00942FA8">
            <w:pPr>
              <w:spacing w:after="240"/>
              <w:jc w:val="both"/>
              <w:rPr>
                <w:rFonts w:cstheme="minorHAnsi"/>
                <w:lang w:val="lv-LV"/>
              </w:rPr>
            </w:pPr>
            <w:r w:rsidRPr="007E7DF5">
              <w:rPr>
                <w:rFonts w:cstheme="minorHAnsi"/>
                <w:lang w:val="lv-LV"/>
              </w:rPr>
              <w:t xml:space="preserve">Atalgojuma nemainīgā daļa (bruto), kas ietver atalgojumu, ko </w:t>
            </w:r>
            <w:r w:rsidR="000622DE" w:rsidRPr="007E7DF5">
              <w:rPr>
                <w:rFonts w:cstheme="minorHAnsi"/>
                <w:lang w:val="lv-LV"/>
              </w:rPr>
              <w:t>V</w:t>
            </w:r>
            <w:r w:rsidRPr="007E7DF5">
              <w:rPr>
                <w:rFonts w:cstheme="minorHAnsi"/>
                <w:lang w:val="lv-LV"/>
              </w:rPr>
              <w:t xml:space="preserve">aldes locekļiem </w:t>
            </w:r>
            <w:r w:rsidR="00942FA8" w:rsidRPr="007E7DF5">
              <w:rPr>
                <w:rFonts w:cstheme="minorHAnsi"/>
                <w:lang w:val="lv-LV"/>
              </w:rPr>
              <w:t xml:space="preserve">katru mēnesi </w:t>
            </w:r>
            <w:r w:rsidRPr="007E7DF5">
              <w:rPr>
                <w:rFonts w:cstheme="minorHAnsi"/>
                <w:lang w:val="lv-LV"/>
              </w:rPr>
              <w:t>maksā Sabiedrība</w:t>
            </w:r>
            <w:r w:rsidR="00CA1CDF">
              <w:rPr>
                <w:rFonts w:cstheme="minorHAnsi"/>
                <w:lang w:val="lv-LV"/>
              </w:rPr>
              <w:t xml:space="preserve"> atbilstoši spēkā esošajiem normatīvajiem aktiem</w:t>
            </w:r>
          </w:p>
        </w:tc>
      </w:tr>
      <w:tr w:rsidR="007E7DF5" w:rsidRPr="007E7DF5" w14:paraId="2D15C514" w14:textId="77777777" w:rsidTr="0099637A">
        <w:tc>
          <w:tcPr>
            <w:tcW w:w="1615" w:type="dxa"/>
          </w:tcPr>
          <w:p w14:paraId="7D417595" w14:textId="00DC8351" w:rsidR="0099637A" w:rsidRPr="007E7DF5" w:rsidRDefault="0099637A" w:rsidP="00942FA8">
            <w:pPr>
              <w:spacing w:after="240"/>
              <w:jc w:val="both"/>
              <w:rPr>
                <w:rFonts w:cstheme="minorHAnsi"/>
                <w:lang w:val="lv-LV"/>
              </w:rPr>
            </w:pPr>
            <w:r w:rsidRPr="007E7DF5">
              <w:rPr>
                <w:rFonts w:cstheme="minorHAnsi"/>
                <w:lang w:val="lv-LV"/>
              </w:rPr>
              <w:t>Mainīgais atalgojums</w:t>
            </w:r>
          </w:p>
        </w:tc>
        <w:tc>
          <w:tcPr>
            <w:tcW w:w="6681" w:type="dxa"/>
          </w:tcPr>
          <w:p w14:paraId="5348DB66" w14:textId="3E6297B3" w:rsidR="0099637A" w:rsidRPr="007E7DF5" w:rsidRDefault="0099637A" w:rsidP="00942FA8">
            <w:pPr>
              <w:spacing w:after="240"/>
              <w:jc w:val="both"/>
              <w:rPr>
                <w:rFonts w:cstheme="minorHAnsi"/>
                <w:lang w:val="lv-LV"/>
              </w:rPr>
            </w:pPr>
            <w:r w:rsidRPr="007E7DF5">
              <w:rPr>
                <w:rFonts w:cstheme="minorHAnsi"/>
                <w:lang w:val="lv-LV"/>
              </w:rPr>
              <w:t xml:space="preserve">Atalgojuma mainīgā daļa jeb ikgadējās prēmijas (bruto), ko papildus Fiksētajam atalgojumam piešķir </w:t>
            </w:r>
            <w:r w:rsidR="000622DE" w:rsidRPr="007E7DF5">
              <w:rPr>
                <w:rFonts w:cstheme="minorHAnsi"/>
                <w:lang w:val="lv-LV"/>
              </w:rPr>
              <w:t>V</w:t>
            </w:r>
            <w:r w:rsidRPr="007E7DF5">
              <w:rPr>
                <w:rFonts w:cstheme="minorHAnsi"/>
                <w:lang w:val="lv-LV"/>
              </w:rPr>
              <w:t>aldes locekļiem finanšu gadā</w:t>
            </w:r>
            <w:r w:rsidR="00D57696">
              <w:rPr>
                <w:rFonts w:cstheme="minorHAnsi"/>
                <w:lang w:val="lv-LV"/>
              </w:rPr>
              <w:t xml:space="preserve"> atbilstoši </w:t>
            </w:r>
            <w:r w:rsidR="00CA1CDF">
              <w:rPr>
                <w:rFonts w:cstheme="minorHAnsi"/>
                <w:lang w:val="lv-LV"/>
              </w:rPr>
              <w:t xml:space="preserve">spēkā esošajos </w:t>
            </w:r>
            <w:r w:rsidR="00D57696">
              <w:rPr>
                <w:rFonts w:cstheme="minorHAnsi"/>
                <w:lang w:val="lv-LV"/>
              </w:rPr>
              <w:t>normatīvajos aktos (ārējos un iekšējos) noteiktajiem kritērijiem</w:t>
            </w:r>
          </w:p>
        </w:tc>
      </w:tr>
      <w:tr w:rsidR="007E7DF5" w:rsidRPr="007E7DF5" w14:paraId="52A3D0FB" w14:textId="77777777" w:rsidTr="0099637A">
        <w:tc>
          <w:tcPr>
            <w:tcW w:w="1615" w:type="dxa"/>
          </w:tcPr>
          <w:p w14:paraId="37364EC2" w14:textId="6E63C805" w:rsidR="0099637A" w:rsidRPr="007E7DF5" w:rsidRDefault="0099637A" w:rsidP="00942FA8">
            <w:pPr>
              <w:spacing w:after="240"/>
              <w:jc w:val="both"/>
              <w:rPr>
                <w:rFonts w:cstheme="minorHAnsi"/>
                <w:lang w:val="lv-LV"/>
              </w:rPr>
            </w:pPr>
            <w:r w:rsidRPr="007E7DF5">
              <w:rPr>
                <w:rFonts w:cstheme="minorHAnsi"/>
                <w:lang w:val="lv-LV"/>
              </w:rPr>
              <w:t>Atalgojums</w:t>
            </w:r>
          </w:p>
        </w:tc>
        <w:tc>
          <w:tcPr>
            <w:tcW w:w="6681" w:type="dxa"/>
          </w:tcPr>
          <w:p w14:paraId="39782EAF" w14:textId="123F16FB" w:rsidR="0099637A" w:rsidRPr="007E7DF5" w:rsidRDefault="0099637A" w:rsidP="00942FA8">
            <w:pPr>
              <w:spacing w:after="240"/>
              <w:jc w:val="both"/>
              <w:rPr>
                <w:rFonts w:cstheme="minorHAnsi"/>
                <w:lang w:val="lv-LV"/>
              </w:rPr>
            </w:pPr>
            <w:r w:rsidRPr="007E7DF5">
              <w:rPr>
                <w:rFonts w:cstheme="minorHAnsi"/>
                <w:lang w:val="lv-LV"/>
              </w:rPr>
              <w:t>Visu veidu (</w:t>
            </w:r>
            <w:r w:rsidR="00671660" w:rsidRPr="007E7DF5">
              <w:rPr>
                <w:rFonts w:cstheme="minorHAnsi"/>
                <w:lang w:val="lv-LV"/>
              </w:rPr>
              <w:t>F</w:t>
            </w:r>
            <w:r w:rsidRPr="007E7DF5">
              <w:rPr>
                <w:rFonts w:cstheme="minorHAnsi"/>
                <w:lang w:val="lv-LV"/>
              </w:rPr>
              <w:t>iksēt</w:t>
            </w:r>
            <w:r w:rsidR="00D57696">
              <w:rPr>
                <w:rFonts w:cstheme="minorHAnsi"/>
                <w:lang w:val="lv-LV"/>
              </w:rPr>
              <w:t>ā</w:t>
            </w:r>
            <w:r w:rsidRPr="007E7DF5">
              <w:rPr>
                <w:rFonts w:cstheme="minorHAnsi"/>
                <w:lang w:val="lv-LV"/>
              </w:rPr>
              <w:t xml:space="preserve"> un </w:t>
            </w:r>
            <w:r w:rsidR="00671660" w:rsidRPr="007E7DF5">
              <w:rPr>
                <w:rFonts w:cstheme="minorHAnsi"/>
                <w:lang w:val="lv-LV"/>
              </w:rPr>
              <w:t>M</w:t>
            </w:r>
            <w:r w:rsidRPr="007E7DF5">
              <w:rPr>
                <w:rFonts w:cstheme="minorHAnsi"/>
                <w:lang w:val="lv-LV"/>
              </w:rPr>
              <w:t>ainīg</w:t>
            </w:r>
            <w:r w:rsidR="00D57696">
              <w:rPr>
                <w:rFonts w:cstheme="minorHAnsi"/>
                <w:lang w:val="lv-LV"/>
              </w:rPr>
              <w:t>ā</w:t>
            </w:r>
            <w:r w:rsidRPr="007E7DF5">
              <w:rPr>
                <w:rFonts w:cstheme="minorHAnsi"/>
                <w:lang w:val="lv-LV"/>
              </w:rPr>
              <w:t xml:space="preserve">) </w:t>
            </w:r>
            <w:r w:rsidR="00C92F6E">
              <w:rPr>
                <w:rFonts w:cstheme="minorHAnsi"/>
                <w:lang w:val="lv-LV"/>
              </w:rPr>
              <w:t>atlīdzība</w:t>
            </w:r>
            <w:r w:rsidRPr="007E7DF5">
              <w:rPr>
                <w:rFonts w:cstheme="minorHAnsi"/>
                <w:lang w:val="lv-LV"/>
              </w:rPr>
              <w:t xml:space="preserve"> un citi papildu labumi, ko tiešā vai netiešā veidā nodrošina Sabiedrība apmaiņā pret Valdes locekļu profesionālajiem pakalpojumiem</w:t>
            </w:r>
          </w:p>
        </w:tc>
      </w:tr>
      <w:tr w:rsidR="007E7DF5" w:rsidRPr="007E7DF5" w14:paraId="30349F4D" w14:textId="77777777" w:rsidTr="0099637A">
        <w:tc>
          <w:tcPr>
            <w:tcW w:w="1615" w:type="dxa"/>
          </w:tcPr>
          <w:p w14:paraId="71950C1D" w14:textId="49FA8D70" w:rsidR="0099637A" w:rsidRPr="007E7DF5" w:rsidRDefault="0099637A" w:rsidP="00942FA8">
            <w:pPr>
              <w:spacing w:after="240"/>
              <w:jc w:val="both"/>
              <w:rPr>
                <w:rFonts w:cstheme="minorHAnsi"/>
                <w:lang w:val="lv-LV"/>
              </w:rPr>
            </w:pPr>
            <w:r w:rsidRPr="007E7DF5">
              <w:rPr>
                <w:rFonts w:cstheme="minorHAnsi"/>
                <w:lang w:val="lv-LV"/>
              </w:rPr>
              <w:t>Politika</w:t>
            </w:r>
          </w:p>
        </w:tc>
        <w:tc>
          <w:tcPr>
            <w:tcW w:w="6681" w:type="dxa"/>
          </w:tcPr>
          <w:p w14:paraId="7DFEBA0E" w14:textId="67128882" w:rsidR="0099637A" w:rsidRPr="007E7DF5" w:rsidRDefault="0099637A" w:rsidP="00942FA8">
            <w:pPr>
              <w:spacing w:after="240"/>
              <w:jc w:val="both"/>
              <w:rPr>
                <w:rFonts w:cstheme="minorHAnsi"/>
                <w:lang w:val="lv-LV"/>
              </w:rPr>
            </w:pPr>
            <w:r w:rsidRPr="007E7DF5">
              <w:rPr>
                <w:rFonts w:cstheme="minorHAnsi"/>
                <w:lang w:val="lv-LV"/>
              </w:rPr>
              <w:t>Šī Sabiedrības Valdes locekļu atalgojuma politika</w:t>
            </w:r>
          </w:p>
        </w:tc>
      </w:tr>
      <w:tr w:rsidR="007E7DF5" w:rsidRPr="007E7DF5" w14:paraId="7198ADA4" w14:textId="77777777" w:rsidTr="0099637A">
        <w:tc>
          <w:tcPr>
            <w:tcW w:w="1615" w:type="dxa"/>
          </w:tcPr>
          <w:p w14:paraId="6DD01C52" w14:textId="335538B9" w:rsidR="0099637A" w:rsidRPr="007E7DF5" w:rsidRDefault="0099637A" w:rsidP="00942FA8">
            <w:pPr>
              <w:spacing w:after="240"/>
              <w:jc w:val="both"/>
              <w:rPr>
                <w:rFonts w:cstheme="minorHAnsi"/>
                <w:lang w:val="lv-LV"/>
              </w:rPr>
            </w:pPr>
            <w:r w:rsidRPr="007E7DF5">
              <w:rPr>
                <w:rFonts w:cstheme="minorHAnsi"/>
                <w:lang w:val="lv-LV"/>
              </w:rPr>
              <w:t>Atalgojuma ziņojums</w:t>
            </w:r>
          </w:p>
        </w:tc>
        <w:tc>
          <w:tcPr>
            <w:tcW w:w="6681" w:type="dxa"/>
          </w:tcPr>
          <w:p w14:paraId="63DB5D57" w14:textId="052EF7D3" w:rsidR="0099637A" w:rsidRPr="007E7DF5" w:rsidRDefault="0099637A" w:rsidP="00942FA8">
            <w:pPr>
              <w:spacing w:after="240"/>
              <w:jc w:val="both"/>
              <w:rPr>
                <w:rFonts w:cstheme="minorHAnsi"/>
                <w:lang w:val="lv-LV"/>
              </w:rPr>
            </w:pPr>
            <w:r w:rsidRPr="007E7DF5">
              <w:rPr>
                <w:rFonts w:cstheme="minorHAnsi"/>
                <w:lang w:val="lv-LV"/>
              </w:rPr>
              <w:t>Skaidrs un saprotams pārskats par Valdes locekļu atalgojumu, kas piešķirts vai izmaksāts iepriekšējā finanšu gadā vai kas pienākas par iepriekšējo finanšu gadu katram esošajam vai bijušajam Valdes loceklim</w:t>
            </w:r>
          </w:p>
        </w:tc>
      </w:tr>
      <w:tr w:rsidR="007E7DF5" w:rsidRPr="007E7DF5" w14:paraId="20B7F343" w14:textId="77777777" w:rsidTr="0099637A">
        <w:tc>
          <w:tcPr>
            <w:tcW w:w="1615" w:type="dxa"/>
          </w:tcPr>
          <w:p w14:paraId="7599AF98" w14:textId="58572CA6" w:rsidR="0099637A" w:rsidRPr="007E7DF5" w:rsidRDefault="0099637A" w:rsidP="00942FA8">
            <w:pPr>
              <w:spacing w:after="240"/>
              <w:jc w:val="both"/>
              <w:rPr>
                <w:rFonts w:cstheme="minorHAnsi"/>
                <w:lang w:val="lv-LV"/>
              </w:rPr>
            </w:pPr>
            <w:r w:rsidRPr="007E7DF5">
              <w:rPr>
                <w:rFonts w:cstheme="minorHAnsi"/>
                <w:lang w:val="lv-LV"/>
              </w:rPr>
              <w:t xml:space="preserve">Papildu labumi </w:t>
            </w:r>
          </w:p>
        </w:tc>
        <w:tc>
          <w:tcPr>
            <w:tcW w:w="6681" w:type="dxa"/>
          </w:tcPr>
          <w:p w14:paraId="23F247C4" w14:textId="6E33F252" w:rsidR="0099637A" w:rsidRPr="007E7DF5" w:rsidRDefault="0099637A" w:rsidP="00942FA8">
            <w:pPr>
              <w:spacing w:after="240"/>
              <w:jc w:val="both"/>
              <w:rPr>
                <w:rFonts w:cstheme="minorHAnsi"/>
                <w:lang w:val="lv-LV"/>
              </w:rPr>
            </w:pPr>
            <w:r w:rsidRPr="007E7DF5">
              <w:rPr>
                <w:rFonts w:cstheme="minorHAnsi"/>
                <w:lang w:val="lv-LV"/>
              </w:rPr>
              <w:t xml:space="preserve">Papildu labumi, ko Sabiedrība var piešķirt papildus Fiksētajam un </w:t>
            </w:r>
            <w:r w:rsidRPr="00AC7C62">
              <w:rPr>
                <w:rFonts w:cstheme="minorHAnsi"/>
                <w:lang w:val="lv-LV"/>
              </w:rPr>
              <w:t>Mainīgajam atalgojumam</w:t>
            </w:r>
            <w:r w:rsidR="00D472F5" w:rsidRPr="00AC7C62">
              <w:rPr>
                <w:rFonts w:cstheme="minorHAnsi"/>
                <w:lang w:val="lv-LV"/>
              </w:rPr>
              <w:t>, Valdes locekļu amata izpildes nodrošinājumam</w:t>
            </w:r>
            <w:r w:rsidRPr="00AC7C62">
              <w:rPr>
                <w:rFonts w:cstheme="minorHAnsi"/>
                <w:lang w:val="lv-LV"/>
              </w:rPr>
              <w:t xml:space="preserve">, kas ir </w:t>
            </w:r>
            <w:r w:rsidR="00794422" w:rsidRPr="00AC7C62">
              <w:rPr>
                <w:rFonts w:cstheme="minorHAnsi"/>
                <w:lang w:val="lv-LV"/>
              </w:rPr>
              <w:t>noteikti</w:t>
            </w:r>
            <w:r w:rsidRPr="00AC7C62">
              <w:rPr>
                <w:rFonts w:cstheme="minorHAnsi"/>
                <w:lang w:val="lv-LV"/>
              </w:rPr>
              <w:t xml:space="preserve"> </w:t>
            </w:r>
            <w:r w:rsidR="000568F8" w:rsidRPr="00AC7C62">
              <w:rPr>
                <w:rFonts w:cstheme="minorHAnsi"/>
                <w:lang w:val="lv-LV"/>
              </w:rPr>
              <w:t>Valdes locekļu Pilnvarojuma līgumā</w:t>
            </w:r>
            <w:r w:rsidR="00794422" w:rsidRPr="00AC7C62">
              <w:rPr>
                <w:rFonts w:cstheme="minorHAnsi"/>
                <w:lang w:val="lv-LV"/>
              </w:rPr>
              <w:t xml:space="preserve"> par Valdes locekļu pienākumu izpildi</w:t>
            </w:r>
          </w:p>
        </w:tc>
      </w:tr>
      <w:tr w:rsidR="0099637A" w:rsidRPr="007E7DF5" w14:paraId="6DD9D32C" w14:textId="77777777" w:rsidTr="0099637A">
        <w:tc>
          <w:tcPr>
            <w:tcW w:w="1615" w:type="dxa"/>
          </w:tcPr>
          <w:p w14:paraId="30BB6480" w14:textId="5A5012DB" w:rsidR="0099637A" w:rsidRPr="007E7DF5" w:rsidRDefault="000568F8" w:rsidP="00942FA8">
            <w:pPr>
              <w:spacing w:after="240"/>
              <w:jc w:val="both"/>
              <w:rPr>
                <w:rFonts w:cstheme="minorHAnsi"/>
                <w:lang w:val="lv-LV"/>
              </w:rPr>
            </w:pPr>
            <w:r w:rsidRPr="007E7DF5">
              <w:rPr>
                <w:rFonts w:cstheme="minorHAnsi"/>
                <w:lang w:val="lv-LV"/>
              </w:rPr>
              <w:t>KPI</w:t>
            </w:r>
          </w:p>
        </w:tc>
        <w:tc>
          <w:tcPr>
            <w:tcW w:w="6681" w:type="dxa"/>
          </w:tcPr>
          <w:p w14:paraId="200B5573" w14:textId="1279CAE2" w:rsidR="0099637A" w:rsidRPr="007E7DF5" w:rsidRDefault="000568F8" w:rsidP="00942FA8">
            <w:pPr>
              <w:spacing w:after="240"/>
              <w:jc w:val="both"/>
              <w:rPr>
                <w:rFonts w:cstheme="minorHAnsi"/>
                <w:sz w:val="28"/>
                <w:szCs w:val="28"/>
                <w:lang w:val="lv-LV"/>
              </w:rPr>
            </w:pPr>
            <w:r w:rsidRPr="007E7DF5">
              <w:rPr>
                <w:rFonts w:cstheme="minorHAnsi"/>
                <w:lang w:val="lv-LV"/>
              </w:rPr>
              <w:t xml:space="preserve">Darba snieguma rādītāji </w:t>
            </w:r>
            <w:r w:rsidRPr="007E7DF5">
              <w:rPr>
                <w:rFonts w:cstheme="minorHAnsi"/>
                <w:i/>
                <w:iCs/>
                <w:lang w:val="lv-LV"/>
              </w:rPr>
              <w:t>(Key Performance Indicators</w:t>
            </w:r>
            <w:r w:rsidR="00BE5FE3" w:rsidRPr="007E7DF5">
              <w:rPr>
                <w:rFonts w:cstheme="minorHAnsi"/>
                <w:i/>
                <w:iCs/>
                <w:lang w:val="lv-LV"/>
              </w:rPr>
              <w:t>)</w:t>
            </w:r>
          </w:p>
        </w:tc>
      </w:tr>
    </w:tbl>
    <w:p w14:paraId="416E86EC" w14:textId="77777777" w:rsidR="0099637A" w:rsidRPr="007E7DF5" w:rsidRDefault="0099637A" w:rsidP="00942FA8">
      <w:pPr>
        <w:spacing w:line="240" w:lineRule="auto"/>
        <w:jc w:val="both"/>
        <w:rPr>
          <w:rFonts w:cstheme="minorHAnsi"/>
          <w:lang w:val="lv-LV"/>
        </w:rPr>
      </w:pPr>
    </w:p>
    <w:p w14:paraId="3F9907F4" w14:textId="1EDB486C" w:rsidR="000568F8" w:rsidRPr="007E7DF5" w:rsidRDefault="000568F8" w:rsidP="00942FA8">
      <w:pPr>
        <w:spacing w:line="240" w:lineRule="auto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br w:type="page"/>
      </w:r>
    </w:p>
    <w:p w14:paraId="5D2D29B6" w14:textId="1817C4FC" w:rsidR="000568F8" w:rsidRPr="007E7DF5" w:rsidRDefault="000568F8" w:rsidP="00942FA8">
      <w:pPr>
        <w:pStyle w:val="ListParagraph"/>
        <w:numPr>
          <w:ilvl w:val="0"/>
          <w:numId w:val="2"/>
        </w:numPr>
        <w:spacing w:line="240" w:lineRule="auto"/>
        <w:jc w:val="both"/>
        <w:rPr>
          <w:rFonts w:cstheme="minorHAnsi"/>
          <w:b/>
          <w:bCs/>
          <w:sz w:val="24"/>
          <w:szCs w:val="24"/>
          <w:lang w:val="lv-LV"/>
        </w:rPr>
      </w:pPr>
      <w:r w:rsidRPr="007E7DF5">
        <w:rPr>
          <w:rFonts w:cstheme="minorHAnsi"/>
          <w:b/>
          <w:bCs/>
          <w:sz w:val="24"/>
          <w:szCs w:val="24"/>
          <w:lang w:val="lv-LV"/>
        </w:rPr>
        <w:lastRenderedPageBreak/>
        <w:t>POLITIKAS UZDEVUMI UN PAMATPRINCIPI</w:t>
      </w:r>
    </w:p>
    <w:p w14:paraId="6C425C5C" w14:textId="77777777" w:rsidR="000568F8" w:rsidRPr="007E7DF5" w:rsidRDefault="000568F8" w:rsidP="00942FA8">
      <w:pPr>
        <w:pStyle w:val="ListParagraph"/>
        <w:spacing w:line="240" w:lineRule="auto"/>
        <w:ind w:left="360"/>
        <w:jc w:val="both"/>
        <w:rPr>
          <w:rFonts w:cstheme="minorHAnsi"/>
          <w:lang w:val="lv-LV"/>
        </w:rPr>
      </w:pPr>
    </w:p>
    <w:p w14:paraId="7A5A7901" w14:textId="34ADD037" w:rsidR="000568F8" w:rsidRPr="007E7DF5" w:rsidRDefault="000568F8" w:rsidP="000612CF">
      <w:pPr>
        <w:pStyle w:val="ListParagraph"/>
        <w:numPr>
          <w:ilvl w:val="1"/>
          <w:numId w:val="2"/>
        </w:numPr>
        <w:spacing w:before="16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 xml:space="preserve">Politikas mērķis ir noteikt Sabiedrības Valdes locekļu Atalgojuma pamatprincipus, </w:t>
      </w:r>
      <w:r w:rsidR="00671660" w:rsidRPr="007E7DF5">
        <w:rPr>
          <w:rFonts w:cstheme="minorHAnsi"/>
          <w:lang w:val="lv-LV"/>
        </w:rPr>
        <w:t xml:space="preserve">lai </w:t>
      </w:r>
      <w:r w:rsidRPr="007E7DF5">
        <w:rPr>
          <w:rFonts w:cstheme="minorHAnsi"/>
          <w:lang w:val="lv-LV"/>
        </w:rPr>
        <w:t>veicin</w:t>
      </w:r>
      <w:r w:rsidR="00671660" w:rsidRPr="007E7DF5">
        <w:rPr>
          <w:rFonts w:cstheme="minorHAnsi"/>
          <w:lang w:val="lv-LV"/>
        </w:rPr>
        <w:t>ā</w:t>
      </w:r>
      <w:r w:rsidRPr="007E7DF5">
        <w:rPr>
          <w:rFonts w:cstheme="minorHAnsi"/>
          <w:lang w:val="lv-LV"/>
        </w:rPr>
        <w:t>t</w:t>
      </w:r>
      <w:r w:rsidR="00671660" w:rsidRPr="007E7DF5">
        <w:rPr>
          <w:rFonts w:cstheme="minorHAnsi"/>
          <w:lang w:val="lv-LV"/>
        </w:rPr>
        <w:t>u</w:t>
      </w:r>
      <w:r w:rsidRPr="007E7DF5">
        <w:rPr>
          <w:rFonts w:cstheme="minorHAnsi"/>
          <w:lang w:val="lv-LV"/>
        </w:rPr>
        <w:t xml:space="preserve"> Sabiedrības </w:t>
      </w:r>
      <w:r w:rsidR="00794422">
        <w:rPr>
          <w:rFonts w:cstheme="minorHAnsi"/>
          <w:lang w:val="lv-LV"/>
        </w:rPr>
        <w:t xml:space="preserve">darbības rādītāju un vidēja termiņa darbības </w:t>
      </w:r>
      <w:r w:rsidRPr="007E7DF5">
        <w:rPr>
          <w:rFonts w:cstheme="minorHAnsi"/>
          <w:lang w:val="lv-LV"/>
        </w:rPr>
        <w:t>stratēģij</w:t>
      </w:r>
      <w:r w:rsidR="008D4497" w:rsidRPr="007E7DF5">
        <w:rPr>
          <w:rFonts w:cstheme="minorHAnsi"/>
          <w:lang w:val="lv-LV"/>
        </w:rPr>
        <w:t>as īstenošanu</w:t>
      </w:r>
      <w:r w:rsidRPr="007E7DF5">
        <w:rPr>
          <w:rFonts w:cstheme="minorHAnsi"/>
          <w:lang w:val="lv-LV"/>
        </w:rPr>
        <w:t>, ilgtermiņa intereses un ilgtspēju.</w:t>
      </w:r>
    </w:p>
    <w:p w14:paraId="7D38DBAD" w14:textId="4EFF83C3" w:rsidR="000568F8" w:rsidRPr="007E7DF5" w:rsidRDefault="000568F8" w:rsidP="000612CF">
      <w:pPr>
        <w:pStyle w:val="ListParagraph"/>
        <w:numPr>
          <w:ilvl w:val="1"/>
          <w:numId w:val="2"/>
        </w:numPr>
        <w:spacing w:before="16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 xml:space="preserve">Politika izstrādāta ar mērķi </w:t>
      </w:r>
      <w:r w:rsidR="000622DE" w:rsidRPr="007E7DF5">
        <w:rPr>
          <w:rFonts w:cstheme="minorHAnsi"/>
          <w:lang w:val="lv-LV"/>
        </w:rPr>
        <w:t xml:space="preserve">veicināt </w:t>
      </w:r>
      <w:r w:rsidRPr="007E7DF5">
        <w:rPr>
          <w:rFonts w:cstheme="minorHAnsi"/>
          <w:lang w:val="lv-LV"/>
        </w:rPr>
        <w:t xml:space="preserve">Sabiedrības korporatīvo pārskatāmību, kā arī nodrošināt Sabiedrības </w:t>
      </w:r>
      <w:r w:rsidR="0042338B">
        <w:rPr>
          <w:rFonts w:cstheme="minorHAnsi"/>
          <w:lang w:val="lv-LV"/>
        </w:rPr>
        <w:t>P</w:t>
      </w:r>
      <w:r w:rsidR="00794422">
        <w:rPr>
          <w:rFonts w:cstheme="minorHAnsi"/>
          <w:lang w:val="lv-LV"/>
        </w:rPr>
        <w:t>adomei</w:t>
      </w:r>
      <w:r w:rsidRPr="007E7DF5">
        <w:rPr>
          <w:rFonts w:cstheme="minorHAnsi"/>
          <w:lang w:val="lv-LV"/>
        </w:rPr>
        <w:t xml:space="preserve"> labākas iespējas pārraudzīt Valdes locekļu Atalgojumu.</w:t>
      </w:r>
    </w:p>
    <w:p w14:paraId="516FCCD4" w14:textId="638AE358" w:rsidR="000568F8" w:rsidRPr="007E7DF5" w:rsidRDefault="000568F8" w:rsidP="000612CF">
      <w:pPr>
        <w:pStyle w:val="ListParagraph"/>
        <w:numPr>
          <w:ilvl w:val="1"/>
          <w:numId w:val="2"/>
        </w:numPr>
        <w:spacing w:before="16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 xml:space="preserve">Politika vērsta uz to, lai </w:t>
      </w:r>
      <w:r w:rsidR="004E7692" w:rsidRPr="007E7DF5">
        <w:rPr>
          <w:rFonts w:cstheme="minorHAnsi"/>
          <w:lang w:val="lv-LV"/>
        </w:rPr>
        <w:t xml:space="preserve">ilgtermiņā </w:t>
      </w:r>
      <w:r w:rsidRPr="007E7DF5">
        <w:rPr>
          <w:rFonts w:cstheme="minorHAnsi"/>
          <w:lang w:val="lv-LV"/>
        </w:rPr>
        <w:t xml:space="preserve">atalgotu Valdes locekļu </w:t>
      </w:r>
      <w:r w:rsidR="008D4497" w:rsidRPr="007E7DF5">
        <w:rPr>
          <w:rFonts w:cstheme="minorHAnsi"/>
          <w:lang w:val="lv-LV"/>
        </w:rPr>
        <w:t xml:space="preserve">darba </w:t>
      </w:r>
      <w:r w:rsidRPr="007E7DF5">
        <w:rPr>
          <w:rFonts w:cstheme="minorHAnsi"/>
          <w:lang w:val="lv-LV"/>
        </w:rPr>
        <w:t xml:space="preserve">sniegumu, kas atbilst </w:t>
      </w:r>
      <w:r w:rsidR="008D4497" w:rsidRPr="007E7DF5">
        <w:rPr>
          <w:rFonts w:cstheme="minorHAnsi"/>
          <w:lang w:val="lv-LV"/>
        </w:rPr>
        <w:t xml:space="preserve">Sabiedrības </w:t>
      </w:r>
      <w:r w:rsidR="0042338B">
        <w:rPr>
          <w:rFonts w:cstheme="minorHAnsi"/>
          <w:lang w:val="lv-LV"/>
        </w:rPr>
        <w:t>kapitāla daļu turētāj</w:t>
      </w:r>
      <w:r w:rsidR="008D4497" w:rsidRPr="007E7DF5">
        <w:rPr>
          <w:rFonts w:cstheme="minorHAnsi"/>
          <w:lang w:val="lv-LV"/>
        </w:rPr>
        <w:t xml:space="preserve"> </w:t>
      </w:r>
      <w:r w:rsidRPr="007E7DF5">
        <w:rPr>
          <w:rFonts w:cstheme="minorHAnsi"/>
          <w:lang w:val="lv-LV"/>
        </w:rPr>
        <w:t xml:space="preserve">interesēm, </w:t>
      </w:r>
      <w:r w:rsidR="008D4497" w:rsidRPr="007E7DF5">
        <w:rPr>
          <w:rFonts w:cstheme="minorHAnsi"/>
          <w:lang w:val="lv-LV"/>
        </w:rPr>
        <w:t xml:space="preserve">kā arī lai </w:t>
      </w:r>
      <w:r w:rsidRPr="007E7DF5">
        <w:rPr>
          <w:rFonts w:cstheme="minorHAnsi"/>
          <w:lang w:val="lv-LV"/>
        </w:rPr>
        <w:t xml:space="preserve">veicinātu Sabiedrības </w:t>
      </w:r>
      <w:r w:rsidR="00794422">
        <w:rPr>
          <w:rFonts w:cstheme="minorHAnsi"/>
          <w:lang w:val="lv-LV"/>
        </w:rPr>
        <w:t xml:space="preserve">darbības rādītāju un vidēja termiņa darbības </w:t>
      </w:r>
      <w:r w:rsidR="008D4497" w:rsidRPr="007E7DF5">
        <w:rPr>
          <w:rFonts w:cstheme="minorHAnsi"/>
          <w:lang w:val="lv-LV"/>
        </w:rPr>
        <w:t>stratēģijas</w:t>
      </w:r>
      <w:r w:rsidR="004E7692" w:rsidRPr="007E7DF5">
        <w:rPr>
          <w:rFonts w:cstheme="minorHAnsi"/>
          <w:lang w:val="lv-LV"/>
        </w:rPr>
        <w:t xml:space="preserve"> īstenošanu</w:t>
      </w:r>
      <w:r w:rsidRPr="007E7DF5">
        <w:rPr>
          <w:rFonts w:cstheme="minorHAnsi"/>
          <w:lang w:val="lv-LV"/>
        </w:rPr>
        <w:t>.</w:t>
      </w:r>
    </w:p>
    <w:p w14:paraId="32DD9E53" w14:textId="1DCCD3D1" w:rsidR="000568F8" w:rsidRPr="007E7DF5" w:rsidRDefault="000568F8" w:rsidP="000612CF">
      <w:pPr>
        <w:pStyle w:val="ListParagraph"/>
        <w:numPr>
          <w:ilvl w:val="1"/>
          <w:numId w:val="2"/>
        </w:numPr>
        <w:spacing w:before="16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>Valdes locekļu Atalgojumam ir jābūt taisnīgam, un tas ir jāpiešķir par faktisku un kvalitatīvu pienākumu izpildi. Atalgojuma noteikšanā ir jāņem vērā Sabiedrības faktiskie darbības rezultāti un konkrētā</w:t>
      </w:r>
      <w:r w:rsidR="005A4A5C" w:rsidRPr="007E7DF5">
        <w:rPr>
          <w:rFonts w:cstheme="minorHAnsi"/>
          <w:lang w:val="lv-LV"/>
        </w:rPr>
        <w:t xml:space="preserve"> Valdes locekļa darba</w:t>
      </w:r>
      <w:r w:rsidRPr="007E7DF5">
        <w:rPr>
          <w:rFonts w:cstheme="minorHAnsi"/>
          <w:lang w:val="lv-LV"/>
        </w:rPr>
        <w:t xml:space="preserve"> sniegums.</w:t>
      </w:r>
    </w:p>
    <w:p w14:paraId="1976808F" w14:textId="55D675C4" w:rsidR="000568F8" w:rsidRPr="007E7DF5" w:rsidRDefault="000568F8" w:rsidP="000612CF">
      <w:pPr>
        <w:pStyle w:val="ListParagraph"/>
        <w:numPr>
          <w:ilvl w:val="1"/>
          <w:numId w:val="2"/>
        </w:numPr>
        <w:spacing w:before="16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 xml:space="preserve">Atalgojumu Sabiedrības Valdes locekļiem nosaka </w:t>
      </w:r>
      <w:r w:rsidR="0042338B">
        <w:rPr>
          <w:rFonts w:cstheme="minorHAnsi"/>
          <w:lang w:val="lv-LV"/>
        </w:rPr>
        <w:t xml:space="preserve">Sabiedrības Padome </w:t>
      </w:r>
      <w:r w:rsidRPr="007E7DF5">
        <w:rPr>
          <w:rFonts w:cstheme="minorHAnsi"/>
          <w:lang w:val="lv-LV"/>
        </w:rPr>
        <w:t xml:space="preserve">saskaņā ar </w:t>
      </w:r>
      <w:r w:rsidR="0042338B">
        <w:rPr>
          <w:rFonts w:cstheme="minorHAnsi"/>
          <w:lang w:val="lv-LV"/>
        </w:rPr>
        <w:t>spēkā esošajiem normatīvajiem aktiem</w:t>
      </w:r>
      <w:r w:rsidRPr="007E7DF5">
        <w:rPr>
          <w:rFonts w:cstheme="minorHAnsi"/>
          <w:lang w:val="lv-LV"/>
        </w:rPr>
        <w:t>.</w:t>
      </w:r>
    </w:p>
    <w:p w14:paraId="7AAD33AB" w14:textId="48B93659" w:rsidR="00BE5FE3" w:rsidRPr="007E7DF5" w:rsidRDefault="00BE5FE3" w:rsidP="000612CF">
      <w:pPr>
        <w:spacing w:after="0" w:line="240" w:lineRule="auto"/>
        <w:rPr>
          <w:rFonts w:cstheme="minorHAnsi"/>
          <w:lang w:val="lv-LV"/>
        </w:rPr>
      </w:pPr>
    </w:p>
    <w:p w14:paraId="4879E6B9" w14:textId="03F8ED73" w:rsidR="000568F8" w:rsidRPr="007E7DF5" w:rsidRDefault="000568F8" w:rsidP="00942FA8">
      <w:pPr>
        <w:pStyle w:val="ListParagraph"/>
        <w:numPr>
          <w:ilvl w:val="0"/>
          <w:numId w:val="2"/>
        </w:numPr>
        <w:spacing w:before="240" w:after="0" w:line="240" w:lineRule="auto"/>
        <w:jc w:val="both"/>
        <w:rPr>
          <w:rFonts w:cstheme="minorHAnsi"/>
          <w:b/>
          <w:bCs/>
          <w:sz w:val="24"/>
          <w:szCs w:val="24"/>
          <w:lang w:val="lv-LV"/>
        </w:rPr>
      </w:pPr>
      <w:r w:rsidRPr="007E7DF5">
        <w:rPr>
          <w:rFonts w:cstheme="minorHAnsi"/>
          <w:b/>
          <w:bCs/>
          <w:sz w:val="24"/>
          <w:szCs w:val="24"/>
          <w:lang w:val="lv-LV"/>
        </w:rPr>
        <w:t>ATALGOJUMA STRUKTŪRAS APRAKSTS</w:t>
      </w:r>
    </w:p>
    <w:p w14:paraId="1BAEDF75" w14:textId="77777777" w:rsidR="000568F8" w:rsidRPr="007E7DF5" w:rsidRDefault="000568F8" w:rsidP="000612CF">
      <w:pPr>
        <w:pStyle w:val="ListParagraph"/>
        <w:numPr>
          <w:ilvl w:val="1"/>
          <w:numId w:val="2"/>
        </w:numPr>
        <w:spacing w:before="160" w:after="0" w:line="240" w:lineRule="auto"/>
        <w:contextualSpacing w:val="0"/>
        <w:jc w:val="both"/>
        <w:rPr>
          <w:rFonts w:cstheme="minorHAnsi"/>
          <w:sz w:val="24"/>
          <w:szCs w:val="24"/>
          <w:lang w:val="lv-LV"/>
        </w:rPr>
      </w:pPr>
      <w:r w:rsidRPr="007E7DF5">
        <w:rPr>
          <w:rFonts w:cstheme="minorHAnsi"/>
          <w:sz w:val="24"/>
          <w:szCs w:val="24"/>
          <w:lang w:val="lv-LV"/>
        </w:rPr>
        <w:t>Atalgojums sastāv no:</w:t>
      </w:r>
    </w:p>
    <w:p w14:paraId="7F732EFD" w14:textId="2337A439" w:rsidR="000568F8" w:rsidRPr="007E7DF5" w:rsidRDefault="000568F8" w:rsidP="000612CF">
      <w:pPr>
        <w:pStyle w:val="ListParagraph"/>
        <w:numPr>
          <w:ilvl w:val="2"/>
          <w:numId w:val="2"/>
        </w:numPr>
        <w:spacing w:before="12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b/>
          <w:bCs/>
          <w:lang w:val="lv-LV"/>
        </w:rPr>
        <w:t>Fiksētā atalgojuma</w:t>
      </w:r>
      <w:r w:rsidRPr="007E7DF5">
        <w:rPr>
          <w:rFonts w:cstheme="minorHAnsi"/>
          <w:lang w:val="lv-LV"/>
        </w:rPr>
        <w:t xml:space="preserve"> jeb Atalgojuma nemainīgās daļas, kas, galvenokārt, atspoguļo personas profesionālo pieredzi, ieņemamo amatu, pienākumus</w:t>
      </w:r>
      <w:r w:rsidR="004E7692" w:rsidRPr="007E7DF5">
        <w:rPr>
          <w:rFonts w:cstheme="minorHAnsi"/>
          <w:lang w:val="lv-LV"/>
        </w:rPr>
        <w:t xml:space="preserve">, </w:t>
      </w:r>
      <w:r w:rsidRPr="007E7DF5">
        <w:rPr>
          <w:rFonts w:cstheme="minorHAnsi"/>
          <w:lang w:val="lv-LV"/>
        </w:rPr>
        <w:t>atbildības līmeni, darba stāžu un izglītību;</w:t>
      </w:r>
    </w:p>
    <w:p w14:paraId="7584DFA4" w14:textId="5DCFFBA1" w:rsidR="000568F8" w:rsidRPr="007E7DF5" w:rsidRDefault="000568F8" w:rsidP="000612CF">
      <w:pPr>
        <w:pStyle w:val="ListParagraph"/>
        <w:numPr>
          <w:ilvl w:val="2"/>
          <w:numId w:val="2"/>
        </w:numPr>
        <w:spacing w:before="12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b/>
          <w:bCs/>
          <w:lang w:val="lv-LV"/>
        </w:rPr>
        <w:t>Mainīgā atalgojuma</w:t>
      </w:r>
      <w:r w:rsidRPr="007E7DF5">
        <w:rPr>
          <w:rFonts w:cstheme="minorHAnsi"/>
          <w:lang w:val="lv-LV"/>
        </w:rPr>
        <w:t xml:space="preserve"> jeb ikgadējās prēmijas, ko papildus Fiksētajam atalgojumam piešķir finanšu gadā, ja</w:t>
      </w:r>
      <w:r w:rsidR="005A4A5C" w:rsidRPr="007E7DF5">
        <w:rPr>
          <w:rFonts w:cstheme="minorHAnsi"/>
          <w:lang w:val="lv-LV"/>
        </w:rPr>
        <w:t xml:space="preserve"> konkrētais Valdes loceklis</w:t>
      </w:r>
      <w:r w:rsidR="004E7692" w:rsidRPr="007E7DF5">
        <w:rPr>
          <w:rFonts w:cstheme="minorHAnsi"/>
          <w:lang w:val="lv-LV"/>
        </w:rPr>
        <w:t xml:space="preserve"> ir</w:t>
      </w:r>
      <w:r w:rsidR="005A4A5C" w:rsidRPr="007E7DF5">
        <w:rPr>
          <w:rFonts w:cstheme="minorHAnsi"/>
          <w:lang w:val="lv-LV"/>
        </w:rPr>
        <w:t xml:space="preserve"> izpildījis</w:t>
      </w:r>
      <w:r w:rsidRPr="007E7DF5">
        <w:rPr>
          <w:rFonts w:cstheme="minorHAnsi"/>
          <w:lang w:val="lv-LV"/>
        </w:rPr>
        <w:t xml:space="preserve"> iepriekš</w:t>
      </w:r>
      <w:r w:rsidR="005A4A5C" w:rsidRPr="007E7DF5">
        <w:rPr>
          <w:rFonts w:cstheme="minorHAnsi"/>
          <w:lang w:val="lv-LV"/>
        </w:rPr>
        <w:t xml:space="preserve"> tam</w:t>
      </w:r>
      <w:r w:rsidRPr="007E7DF5">
        <w:rPr>
          <w:rFonts w:cstheme="minorHAnsi"/>
          <w:lang w:val="lv-LV"/>
        </w:rPr>
        <w:t xml:space="preserve"> </w:t>
      </w:r>
      <w:r w:rsidR="0000279A">
        <w:rPr>
          <w:rFonts w:cstheme="minorHAnsi"/>
          <w:lang w:val="lv-LV"/>
        </w:rPr>
        <w:t>noteiktos kritērijus</w:t>
      </w:r>
      <w:r w:rsidRPr="007E7DF5">
        <w:rPr>
          <w:rFonts w:cstheme="minorHAnsi"/>
          <w:lang w:val="lv-LV"/>
        </w:rPr>
        <w:t>;</w:t>
      </w:r>
    </w:p>
    <w:p w14:paraId="251AE165" w14:textId="69A328EF" w:rsidR="000568F8" w:rsidRPr="00AC7C62" w:rsidRDefault="000568F8" w:rsidP="000612CF">
      <w:pPr>
        <w:pStyle w:val="ListParagraph"/>
        <w:numPr>
          <w:ilvl w:val="2"/>
          <w:numId w:val="2"/>
        </w:numPr>
        <w:spacing w:before="12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b/>
          <w:bCs/>
          <w:lang w:val="lv-LV"/>
        </w:rPr>
        <w:t xml:space="preserve"> </w:t>
      </w:r>
      <w:r w:rsidRPr="00AC7C62">
        <w:rPr>
          <w:rFonts w:cstheme="minorHAnsi"/>
          <w:b/>
          <w:bCs/>
          <w:lang w:val="lv-LV"/>
        </w:rPr>
        <w:t>Citiem papildu labumiem</w:t>
      </w:r>
      <w:r w:rsidRPr="00AC7C62">
        <w:rPr>
          <w:rFonts w:cstheme="minorHAnsi"/>
          <w:lang w:val="lv-LV"/>
        </w:rPr>
        <w:t>, ko Sabiedrība var piešķirt papildus</w:t>
      </w:r>
      <w:r w:rsidR="00681893" w:rsidRPr="00AC7C62">
        <w:rPr>
          <w:rFonts w:cstheme="minorHAnsi"/>
          <w:lang w:val="lv-LV"/>
        </w:rPr>
        <w:t xml:space="preserve"> </w:t>
      </w:r>
      <w:r w:rsidRPr="00AC7C62">
        <w:rPr>
          <w:rFonts w:cstheme="minorHAnsi"/>
          <w:lang w:val="lv-LV"/>
        </w:rPr>
        <w:t xml:space="preserve">Fiksētajam atalgojumam un Mainīgajam atalgojumam atbilstoši </w:t>
      </w:r>
      <w:r w:rsidR="00681893" w:rsidRPr="00AC7C62">
        <w:rPr>
          <w:rFonts w:cstheme="minorHAnsi"/>
          <w:lang w:val="lv-LV"/>
        </w:rPr>
        <w:t>Pilnvarojuma līgumam</w:t>
      </w:r>
      <w:r w:rsidR="0000279A" w:rsidRPr="00AC7C62">
        <w:rPr>
          <w:rFonts w:cstheme="minorHAnsi"/>
          <w:lang w:val="lv-LV"/>
        </w:rPr>
        <w:t xml:space="preserve"> par Valdes locekļu pienākumu izpildi.</w:t>
      </w:r>
    </w:p>
    <w:p w14:paraId="39600221" w14:textId="1A7E5E89" w:rsidR="00681893" w:rsidRPr="007E7DF5" w:rsidRDefault="00681893" w:rsidP="000612CF">
      <w:pPr>
        <w:pStyle w:val="ListParagraph"/>
        <w:numPr>
          <w:ilvl w:val="1"/>
          <w:numId w:val="2"/>
        </w:numPr>
        <w:spacing w:before="16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>Valdes locekļu Fiksētais atalgojums</w:t>
      </w:r>
      <w:r w:rsidR="0000279A">
        <w:rPr>
          <w:rFonts w:cstheme="minorHAnsi"/>
          <w:lang w:val="lv-LV"/>
        </w:rPr>
        <w:t>, papildus spēkā esošajos normatīvajos aktos noteiktajiem noteikumiem,</w:t>
      </w:r>
      <w:r w:rsidRPr="007E7DF5">
        <w:rPr>
          <w:rFonts w:cstheme="minorHAnsi"/>
          <w:lang w:val="lv-LV"/>
        </w:rPr>
        <w:t xml:space="preserve"> tiek noteikts, ņemot vērā šādus kritērijus:</w:t>
      </w:r>
    </w:p>
    <w:p w14:paraId="5655535D" w14:textId="591F872E" w:rsidR="00681893" w:rsidRPr="007E7DF5" w:rsidRDefault="00681893" w:rsidP="000612CF">
      <w:pPr>
        <w:pStyle w:val="ListParagraph"/>
        <w:numPr>
          <w:ilvl w:val="2"/>
          <w:numId w:val="2"/>
        </w:numPr>
        <w:spacing w:before="12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>profesionālās prasmes un izglītība;</w:t>
      </w:r>
    </w:p>
    <w:p w14:paraId="48C650BD" w14:textId="1EF40DE0" w:rsidR="00681893" w:rsidRPr="007E7DF5" w:rsidRDefault="00681893" w:rsidP="000612CF">
      <w:pPr>
        <w:pStyle w:val="ListParagraph"/>
        <w:numPr>
          <w:ilvl w:val="2"/>
          <w:numId w:val="2"/>
        </w:numPr>
        <w:spacing w:before="12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>darba un amata pienākum</w:t>
      </w:r>
      <w:r w:rsidR="00E171BF" w:rsidRPr="007E7DF5">
        <w:rPr>
          <w:rFonts w:cstheme="minorHAnsi"/>
          <w:lang w:val="lv-LV"/>
        </w:rPr>
        <w:t>u apjoms,</w:t>
      </w:r>
      <w:r w:rsidR="006E293F" w:rsidRPr="007E7DF5">
        <w:rPr>
          <w:rFonts w:cstheme="minorHAnsi"/>
          <w:lang w:val="lv-LV"/>
        </w:rPr>
        <w:t xml:space="preserve"> </w:t>
      </w:r>
      <w:r w:rsidR="006E293F" w:rsidRPr="007E7DF5">
        <w:t>atbildībā esošās darbības jomas</w:t>
      </w:r>
      <w:r w:rsidRPr="007E7DF5">
        <w:rPr>
          <w:rFonts w:cstheme="minorHAnsi"/>
          <w:lang w:val="lv-LV"/>
        </w:rPr>
        <w:t>;</w:t>
      </w:r>
    </w:p>
    <w:p w14:paraId="51F770F5" w14:textId="72ECEB9C" w:rsidR="00681893" w:rsidRPr="007E7DF5" w:rsidRDefault="00681893" w:rsidP="000612CF">
      <w:pPr>
        <w:pStyle w:val="ListParagraph"/>
        <w:numPr>
          <w:ilvl w:val="2"/>
          <w:numId w:val="2"/>
        </w:numPr>
        <w:spacing w:before="12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 xml:space="preserve"> atbildības līmenis, tai skaitā</w:t>
      </w:r>
      <w:r w:rsidR="00E171BF" w:rsidRPr="007E7DF5">
        <w:rPr>
          <w:rFonts w:cstheme="minorHAnsi"/>
          <w:lang w:val="lv-LV"/>
        </w:rPr>
        <w:t>, atbildība par:</w:t>
      </w:r>
    </w:p>
    <w:p w14:paraId="24DEC2F9" w14:textId="13C51A40" w:rsidR="00681893" w:rsidRPr="007E7DF5" w:rsidRDefault="00681893" w:rsidP="000612CF">
      <w:pPr>
        <w:pStyle w:val="ListParagraph"/>
        <w:numPr>
          <w:ilvl w:val="3"/>
          <w:numId w:val="2"/>
        </w:numPr>
        <w:spacing w:before="80" w:after="0" w:line="240" w:lineRule="auto"/>
        <w:ind w:left="2088" w:hanging="1008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>proces</w:t>
      </w:r>
      <w:r w:rsidR="00E171BF" w:rsidRPr="007E7DF5">
        <w:rPr>
          <w:rFonts w:cstheme="minorHAnsi"/>
          <w:lang w:val="lv-LV"/>
        </w:rPr>
        <w:t>iem</w:t>
      </w:r>
      <w:r w:rsidRPr="007E7DF5">
        <w:rPr>
          <w:rFonts w:cstheme="minorHAnsi"/>
          <w:lang w:val="lv-LV"/>
        </w:rPr>
        <w:t xml:space="preserve"> un resursiem</w:t>
      </w:r>
      <w:r w:rsidR="00E171BF" w:rsidRPr="007E7DF5">
        <w:rPr>
          <w:rFonts w:cstheme="minorHAnsi"/>
          <w:lang w:val="lv-LV"/>
        </w:rPr>
        <w:t xml:space="preserve">, kas </w:t>
      </w:r>
      <w:r w:rsidRPr="007E7DF5">
        <w:rPr>
          <w:rFonts w:cstheme="minorHAnsi"/>
          <w:lang w:val="lv-LV"/>
        </w:rPr>
        <w:t>raksturo darbu, procesu, struktūrvienību un finanšu resursu apjomu, par kuru vadību atbildīg</w:t>
      </w:r>
      <w:r w:rsidR="004E7692" w:rsidRPr="007E7DF5">
        <w:rPr>
          <w:rFonts w:cstheme="minorHAnsi"/>
          <w:lang w:val="lv-LV"/>
        </w:rPr>
        <w:t>s</w:t>
      </w:r>
      <w:r w:rsidRPr="007E7DF5">
        <w:rPr>
          <w:rFonts w:cstheme="minorHAnsi"/>
          <w:lang w:val="lv-LV"/>
        </w:rPr>
        <w:t xml:space="preserve"> </w:t>
      </w:r>
      <w:r w:rsidR="00E171BF" w:rsidRPr="007E7DF5">
        <w:rPr>
          <w:rFonts w:cstheme="minorHAnsi"/>
          <w:lang w:val="lv-LV"/>
        </w:rPr>
        <w:t>attiecīgais Valdes loceklis</w:t>
      </w:r>
      <w:r w:rsidRPr="007E7DF5">
        <w:rPr>
          <w:rFonts w:cstheme="minorHAnsi"/>
          <w:lang w:val="lv-LV"/>
        </w:rPr>
        <w:t>;</w:t>
      </w:r>
    </w:p>
    <w:p w14:paraId="08D9F7FA" w14:textId="0B8CD4DB" w:rsidR="00681893" w:rsidRPr="007E7DF5" w:rsidRDefault="00681893" w:rsidP="000612CF">
      <w:pPr>
        <w:pStyle w:val="ListParagraph"/>
        <w:numPr>
          <w:ilvl w:val="3"/>
          <w:numId w:val="2"/>
        </w:numPr>
        <w:spacing w:before="80" w:after="0" w:line="240" w:lineRule="auto"/>
        <w:ind w:left="2088" w:hanging="1008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>lēmumiem</w:t>
      </w:r>
      <w:r w:rsidR="00E171BF" w:rsidRPr="007E7DF5">
        <w:rPr>
          <w:rFonts w:cstheme="minorHAnsi"/>
          <w:lang w:val="lv-LV"/>
        </w:rPr>
        <w:t xml:space="preserve">, kas </w:t>
      </w:r>
      <w:r w:rsidRPr="007E7DF5">
        <w:rPr>
          <w:rFonts w:cstheme="minorHAnsi"/>
          <w:lang w:val="lv-LV"/>
        </w:rPr>
        <w:t>raksturo, cik visaptveroši un ietekmīgi ir attiecīgā</w:t>
      </w:r>
      <w:r w:rsidR="00E171BF" w:rsidRPr="007E7DF5">
        <w:rPr>
          <w:rFonts w:cstheme="minorHAnsi"/>
          <w:lang w:val="lv-LV"/>
        </w:rPr>
        <w:t xml:space="preserve"> Valdes locekļa</w:t>
      </w:r>
      <w:r w:rsidR="004E7692" w:rsidRPr="007E7DF5">
        <w:rPr>
          <w:rFonts w:cstheme="minorHAnsi"/>
          <w:lang w:val="lv-LV"/>
        </w:rPr>
        <w:t xml:space="preserve"> </w:t>
      </w:r>
      <w:r w:rsidRPr="007E7DF5">
        <w:rPr>
          <w:rFonts w:cstheme="minorHAnsi"/>
          <w:lang w:val="lv-LV"/>
        </w:rPr>
        <w:t>pieņemtie lēmumi;</w:t>
      </w:r>
    </w:p>
    <w:p w14:paraId="7C1A54F3" w14:textId="0C8FBCF6" w:rsidR="00681893" w:rsidRPr="007E7DF5" w:rsidRDefault="00681893" w:rsidP="000612CF">
      <w:pPr>
        <w:pStyle w:val="ListParagraph"/>
        <w:numPr>
          <w:ilvl w:val="2"/>
          <w:numId w:val="2"/>
        </w:numPr>
        <w:spacing w:before="12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 xml:space="preserve"> papildus prasmes un iemaņas, kas būtiskas Sabiedrības darbības nodrošināšanai</w:t>
      </w:r>
      <w:r w:rsidR="0000279A">
        <w:rPr>
          <w:rFonts w:cstheme="minorHAnsi"/>
          <w:lang w:val="lv-LV"/>
        </w:rPr>
        <w:t>, darbības rādītāju</w:t>
      </w:r>
      <w:r w:rsidR="00E171BF" w:rsidRPr="007E7DF5">
        <w:rPr>
          <w:rFonts w:cstheme="minorHAnsi"/>
          <w:lang w:val="lv-LV"/>
        </w:rPr>
        <w:t xml:space="preserve"> un </w:t>
      </w:r>
      <w:r w:rsidR="0000279A">
        <w:rPr>
          <w:rFonts w:cstheme="minorHAnsi"/>
          <w:lang w:val="lv-LV"/>
        </w:rPr>
        <w:t xml:space="preserve">vidēja termiņa darbības </w:t>
      </w:r>
      <w:r w:rsidR="00E171BF" w:rsidRPr="007E7DF5">
        <w:rPr>
          <w:rFonts w:cstheme="minorHAnsi"/>
          <w:lang w:val="lv-LV"/>
        </w:rPr>
        <w:t>stratēģijas īstenošana</w:t>
      </w:r>
      <w:r w:rsidR="004E7692" w:rsidRPr="007E7DF5">
        <w:rPr>
          <w:rFonts w:cstheme="minorHAnsi"/>
          <w:lang w:val="lv-LV"/>
        </w:rPr>
        <w:t>i</w:t>
      </w:r>
      <w:r w:rsidRPr="007E7DF5">
        <w:rPr>
          <w:rFonts w:cstheme="minorHAnsi"/>
          <w:lang w:val="lv-LV"/>
        </w:rPr>
        <w:t>;</w:t>
      </w:r>
    </w:p>
    <w:p w14:paraId="50838347" w14:textId="3A7A0793" w:rsidR="00681893" w:rsidRPr="007E7DF5" w:rsidRDefault="00681893" w:rsidP="000612CF">
      <w:pPr>
        <w:pStyle w:val="ListParagraph"/>
        <w:numPr>
          <w:ilvl w:val="2"/>
          <w:numId w:val="2"/>
        </w:numPr>
        <w:spacing w:before="12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 xml:space="preserve"> darba tirgus ietekme un Sabiedrības finanšu stāvoklis.</w:t>
      </w:r>
    </w:p>
    <w:p w14:paraId="73EEDA3B" w14:textId="7DB9E809" w:rsidR="00681893" w:rsidRPr="007E7DF5" w:rsidRDefault="00681893" w:rsidP="000612CF">
      <w:pPr>
        <w:pStyle w:val="ListParagraph"/>
        <w:numPr>
          <w:ilvl w:val="1"/>
          <w:numId w:val="2"/>
        </w:numPr>
        <w:spacing w:before="16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 xml:space="preserve">Mainīgais atalgojums var mainīties atkarībā no Sabiedrības finanšu un nefinanšu rādītājiem, kā arī </w:t>
      </w:r>
      <w:r w:rsidR="000612CF" w:rsidRPr="007E7DF5">
        <w:rPr>
          <w:rFonts w:cstheme="minorHAnsi"/>
          <w:lang w:val="lv-LV"/>
        </w:rPr>
        <w:t xml:space="preserve">- </w:t>
      </w:r>
      <w:r w:rsidRPr="007E7DF5">
        <w:rPr>
          <w:rFonts w:cstheme="minorHAnsi"/>
          <w:lang w:val="lv-LV"/>
        </w:rPr>
        <w:t xml:space="preserve">ir saistīts ar Sabiedrības īstermiņa un ilgtermiņa mērķiem un izmērāmiem darbības rezultātiem. Mainīgais atalgojums </w:t>
      </w:r>
      <w:r w:rsidR="004E7692" w:rsidRPr="007E7DF5">
        <w:rPr>
          <w:rFonts w:cstheme="minorHAnsi"/>
          <w:lang w:val="lv-LV"/>
        </w:rPr>
        <w:t xml:space="preserve">ir </w:t>
      </w:r>
      <w:r w:rsidRPr="007E7DF5">
        <w:rPr>
          <w:rFonts w:cstheme="minorHAnsi"/>
          <w:lang w:val="lv-LV"/>
        </w:rPr>
        <w:t xml:space="preserve">noteikts tā, lai veicinātu Sabiedrības </w:t>
      </w:r>
      <w:r w:rsidR="004E7692" w:rsidRPr="007E7DF5">
        <w:rPr>
          <w:rFonts w:cstheme="minorHAnsi"/>
          <w:lang w:val="lv-LV"/>
        </w:rPr>
        <w:t xml:space="preserve">īstermiņa un </w:t>
      </w:r>
      <w:r w:rsidRPr="007E7DF5">
        <w:rPr>
          <w:rFonts w:cstheme="minorHAnsi"/>
          <w:lang w:val="lv-LV"/>
        </w:rPr>
        <w:t>ilgtermiņa mērķu</w:t>
      </w:r>
      <w:r w:rsidR="00E171BF" w:rsidRPr="007E7DF5">
        <w:rPr>
          <w:rFonts w:cstheme="minorHAnsi"/>
          <w:lang w:val="lv-LV"/>
        </w:rPr>
        <w:t xml:space="preserve"> sasniegšanu</w:t>
      </w:r>
      <w:r w:rsidRPr="007E7DF5">
        <w:rPr>
          <w:rFonts w:cstheme="minorHAnsi"/>
          <w:lang w:val="lv-LV"/>
        </w:rPr>
        <w:t xml:space="preserve">, </w:t>
      </w:r>
      <w:r w:rsidR="00E171BF" w:rsidRPr="007E7DF5">
        <w:rPr>
          <w:rFonts w:cstheme="minorHAnsi"/>
          <w:lang w:val="lv-LV"/>
        </w:rPr>
        <w:t>kā arī</w:t>
      </w:r>
      <w:r w:rsidRPr="007E7DF5">
        <w:rPr>
          <w:rFonts w:cstheme="minorHAnsi"/>
          <w:lang w:val="lv-LV"/>
        </w:rPr>
        <w:t xml:space="preserve"> veidotu sasaisti starp </w:t>
      </w:r>
      <w:r w:rsidR="004E7692" w:rsidRPr="007E7DF5">
        <w:rPr>
          <w:rFonts w:cstheme="minorHAnsi"/>
          <w:lang w:val="lv-LV"/>
        </w:rPr>
        <w:t>A</w:t>
      </w:r>
      <w:r w:rsidRPr="007E7DF5">
        <w:rPr>
          <w:rFonts w:cstheme="minorHAnsi"/>
          <w:lang w:val="lv-LV"/>
        </w:rPr>
        <w:t xml:space="preserve">talgojumu un riska uzņemšanos </w:t>
      </w:r>
      <w:r w:rsidR="00E171BF" w:rsidRPr="007E7DF5">
        <w:rPr>
          <w:rFonts w:cstheme="minorHAnsi"/>
          <w:lang w:val="lv-LV"/>
        </w:rPr>
        <w:t xml:space="preserve">par </w:t>
      </w:r>
      <w:r w:rsidRPr="007E7DF5">
        <w:rPr>
          <w:rFonts w:cstheme="minorHAnsi"/>
          <w:lang w:val="lv-LV"/>
        </w:rPr>
        <w:t>Sabiedrīb</w:t>
      </w:r>
      <w:r w:rsidR="00E171BF" w:rsidRPr="007E7DF5">
        <w:rPr>
          <w:rFonts w:cstheme="minorHAnsi"/>
          <w:lang w:val="lv-LV"/>
        </w:rPr>
        <w:t>as finanšu stāvokli un citiem nefinanšu rādītājiem</w:t>
      </w:r>
      <w:r w:rsidRPr="007E7DF5">
        <w:rPr>
          <w:rFonts w:cstheme="minorHAnsi"/>
          <w:lang w:val="lv-LV"/>
        </w:rPr>
        <w:t>. Mainīgais atalgojums ir saistīts ar Valdes locekļu individuālo darba sniegumu, mērķu izpildi un Sabiedrības kopējiem finanšu rezultātiem.</w:t>
      </w:r>
    </w:p>
    <w:p w14:paraId="66D2F073" w14:textId="60079555" w:rsidR="00681893" w:rsidRPr="007E7DF5" w:rsidRDefault="00681893" w:rsidP="000612CF">
      <w:pPr>
        <w:pStyle w:val="ListParagraph"/>
        <w:numPr>
          <w:ilvl w:val="1"/>
          <w:numId w:val="2"/>
        </w:numPr>
        <w:spacing w:before="16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>Mainīgais atalgojums tiek noteikts, ņemot vērā šādus pamatprincipus:</w:t>
      </w:r>
    </w:p>
    <w:p w14:paraId="3E6E28A0" w14:textId="5BF6227C" w:rsidR="00681893" w:rsidRPr="007E7DF5" w:rsidRDefault="00681893" w:rsidP="000612CF">
      <w:pPr>
        <w:pStyle w:val="ListParagraph"/>
        <w:numPr>
          <w:ilvl w:val="2"/>
          <w:numId w:val="2"/>
        </w:numPr>
        <w:spacing w:before="8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lastRenderedPageBreak/>
        <w:t xml:space="preserve">Mainīgais atalgojums tiek noteikts saskaņā ar </w:t>
      </w:r>
      <w:r w:rsidR="00A36102" w:rsidRPr="007E7DF5">
        <w:rPr>
          <w:rFonts w:cstheme="minorHAnsi"/>
          <w:lang w:val="lv-LV"/>
        </w:rPr>
        <w:t xml:space="preserve">ikgadējiem </w:t>
      </w:r>
      <w:r w:rsidR="004E7692" w:rsidRPr="007E7DF5">
        <w:rPr>
          <w:rFonts w:cstheme="minorHAnsi"/>
          <w:lang w:val="lv-LV"/>
        </w:rPr>
        <w:t xml:space="preserve">Sabiedrības </w:t>
      </w:r>
      <w:r w:rsidR="00A36102" w:rsidRPr="007E7DF5">
        <w:rPr>
          <w:rFonts w:cstheme="minorHAnsi"/>
          <w:lang w:val="lv-LV"/>
        </w:rPr>
        <w:t>mērķiem un</w:t>
      </w:r>
      <w:r w:rsidR="004E7692" w:rsidRPr="007E7DF5">
        <w:rPr>
          <w:rFonts w:cstheme="minorHAnsi"/>
          <w:lang w:val="lv-LV"/>
        </w:rPr>
        <w:t xml:space="preserve"> katra konkrētā Valdes locekļa</w:t>
      </w:r>
      <w:r w:rsidR="00A36102" w:rsidRPr="007E7DF5">
        <w:rPr>
          <w:rFonts w:cstheme="minorHAnsi"/>
          <w:lang w:val="lv-LV"/>
        </w:rPr>
        <w:t xml:space="preserve"> </w:t>
      </w:r>
      <w:r w:rsidR="00CA1CDF">
        <w:rPr>
          <w:rFonts w:cstheme="minorHAnsi"/>
          <w:lang w:val="lv-LV"/>
        </w:rPr>
        <w:t>noteiktajiem kritērijiem</w:t>
      </w:r>
      <w:r w:rsidRPr="007E7DF5">
        <w:rPr>
          <w:rFonts w:cstheme="minorHAnsi"/>
          <w:lang w:val="lv-LV"/>
        </w:rPr>
        <w:t>;</w:t>
      </w:r>
    </w:p>
    <w:p w14:paraId="6C9E0EDD" w14:textId="3EF00E9E" w:rsidR="00681893" w:rsidRPr="007E7DF5" w:rsidRDefault="00681893" w:rsidP="000612CF">
      <w:pPr>
        <w:pStyle w:val="ListParagraph"/>
        <w:numPr>
          <w:ilvl w:val="2"/>
          <w:numId w:val="2"/>
        </w:numPr>
        <w:spacing w:before="8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 xml:space="preserve">Nosakot Mainīgo atalgojumu, tiek </w:t>
      </w:r>
      <w:r w:rsidR="006E293F" w:rsidRPr="007E7DF5">
        <w:rPr>
          <w:rFonts w:cstheme="minorHAnsi"/>
          <w:lang w:val="lv-LV"/>
        </w:rPr>
        <w:t xml:space="preserve">nodefinēti </w:t>
      </w:r>
      <w:r w:rsidRPr="007E7DF5">
        <w:rPr>
          <w:rFonts w:cstheme="minorHAnsi"/>
          <w:lang w:val="lv-LV"/>
        </w:rPr>
        <w:t>Sabiedrības un attiecīgā</w:t>
      </w:r>
      <w:r w:rsidR="00A36102" w:rsidRPr="007E7DF5">
        <w:rPr>
          <w:rFonts w:cstheme="minorHAnsi"/>
          <w:lang w:val="lv-LV"/>
        </w:rPr>
        <w:t xml:space="preserve"> Valdes locekļa </w:t>
      </w:r>
      <w:r w:rsidRPr="007E7DF5">
        <w:rPr>
          <w:rFonts w:cstheme="minorHAnsi"/>
          <w:lang w:val="lv-LV"/>
        </w:rPr>
        <w:t xml:space="preserve">individuālie kvantitatīvie un kvalitatīvie </w:t>
      </w:r>
      <w:r w:rsidR="00CA1CDF">
        <w:rPr>
          <w:rFonts w:cstheme="minorHAnsi"/>
          <w:lang w:val="lv-LV"/>
        </w:rPr>
        <w:t>sasniedzamie</w:t>
      </w:r>
      <w:r w:rsidR="000F3019" w:rsidRPr="007E7DF5">
        <w:rPr>
          <w:rFonts w:cstheme="minorHAnsi"/>
          <w:lang w:val="lv-LV"/>
        </w:rPr>
        <w:t xml:space="preserve"> </w:t>
      </w:r>
      <w:r w:rsidRPr="007E7DF5">
        <w:rPr>
          <w:rFonts w:cstheme="minorHAnsi"/>
          <w:lang w:val="lv-LV"/>
        </w:rPr>
        <w:t>rādītāji</w:t>
      </w:r>
      <w:r w:rsidR="006E293F" w:rsidRPr="007E7DF5">
        <w:rPr>
          <w:rFonts w:cstheme="minorHAnsi"/>
          <w:lang w:val="lv-LV"/>
        </w:rPr>
        <w:t>;</w:t>
      </w:r>
    </w:p>
    <w:p w14:paraId="5A56C9DC" w14:textId="3BFC544F" w:rsidR="00681893" w:rsidRPr="00D2219A" w:rsidRDefault="00681893" w:rsidP="000612CF">
      <w:pPr>
        <w:pStyle w:val="ListParagraph"/>
        <w:numPr>
          <w:ilvl w:val="2"/>
          <w:numId w:val="2"/>
        </w:numPr>
        <w:spacing w:before="8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 xml:space="preserve">Mainīgo atalgojumu var </w:t>
      </w:r>
      <w:r w:rsidRPr="00D2219A">
        <w:rPr>
          <w:rFonts w:cstheme="minorHAnsi"/>
          <w:lang w:val="lv-LV"/>
        </w:rPr>
        <w:t>samazināt vai neizmaksāt, ja Sabiedrības finanšu darbības rezultāti pasliktinās vai ir negatīvi;</w:t>
      </w:r>
    </w:p>
    <w:p w14:paraId="14EFF613" w14:textId="5433E3BE" w:rsidR="00681893" w:rsidRPr="00AC7C62" w:rsidRDefault="00681893" w:rsidP="000612CF">
      <w:pPr>
        <w:pStyle w:val="ListParagraph"/>
        <w:numPr>
          <w:ilvl w:val="2"/>
          <w:numId w:val="2"/>
        </w:numPr>
        <w:spacing w:before="8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 xml:space="preserve"> Gada Mainīgā atalgojuma maksimālā robeža </w:t>
      </w:r>
      <w:r w:rsidRPr="00AC7C62">
        <w:rPr>
          <w:rFonts w:cstheme="minorHAnsi"/>
          <w:lang w:val="lv-LV"/>
        </w:rPr>
        <w:t xml:space="preserve">nepārsniedz </w:t>
      </w:r>
      <w:r w:rsidR="00CA1CDF" w:rsidRPr="00AC7C62">
        <w:rPr>
          <w:rFonts w:cstheme="minorHAnsi"/>
          <w:lang w:val="lv-LV"/>
        </w:rPr>
        <w:t>divu mēnešu Fiksētā atalgojuma apmēru</w:t>
      </w:r>
      <w:r w:rsidRPr="00AC7C62">
        <w:rPr>
          <w:rFonts w:cstheme="minorHAnsi"/>
          <w:lang w:val="lv-LV"/>
        </w:rPr>
        <w:t>.</w:t>
      </w:r>
    </w:p>
    <w:p w14:paraId="6F87E9BD" w14:textId="1D5D6AA4" w:rsidR="000F3019" w:rsidRPr="007E7DF5" w:rsidRDefault="00681893" w:rsidP="000612CF">
      <w:pPr>
        <w:pStyle w:val="ListParagraph"/>
        <w:numPr>
          <w:ilvl w:val="2"/>
          <w:numId w:val="2"/>
        </w:numPr>
        <w:spacing w:before="8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 xml:space="preserve">Mainīgais atalgojums tiek izmaksāts tikai gadījumā, ja to atļauj Sabiedrības kopējais finansiālais stāvoklis, un ja tas ir pamatots saskaņā ar </w:t>
      </w:r>
      <w:r w:rsidR="00A36102" w:rsidRPr="007E7DF5">
        <w:rPr>
          <w:rFonts w:cstheme="minorHAnsi"/>
          <w:lang w:val="lv-LV"/>
        </w:rPr>
        <w:t xml:space="preserve">konkrētā Valdes locekļa </w:t>
      </w:r>
      <w:r w:rsidR="00CA1CDF">
        <w:rPr>
          <w:rFonts w:cstheme="minorHAnsi"/>
          <w:lang w:val="lv-LV"/>
        </w:rPr>
        <w:t>noteikto kritēriju</w:t>
      </w:r>
      <w:r w:rsidR="000612CF" w:rsidRPr="007E7DF5">
        <w:rPr>
          <w:rFonts w:cstheme="minorHAnsi"/>
          <w:lang w:val="lv-LV"/>
        </w:rPr>
        <w:t xml:space="preserve"> izpildi</w:t>
      </w:r>
      <w:r w:rsidRPr="007E7DF5">
        <w:rPr>
          <w:rFonts w:cstheme="minorHAnsi"/>
          <w:lang w:val="lv-LV"/>
        </w:rPr>
        <w:t>.</w:t>
      </w:r>
    </w:p>
    <w:p w14:paraId="1C59A2AD" w14:textId="0C803677" w:rsidR="000F3019" w:rsidRPr="007E7DF5" w:rsidRDefault="00681893" w:rsidP="000612CF">
      <w:pPr>
        <w:pStyle w:val="ListParagraph"/>
        <w:numPr>
          <w:ilvl w:val="1"/>
          <w:numId w:val="2"/>
        </w:numPr>
        <w:spacing w:before="16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 xml:space="preserve">Mainīgajam atalgojumam ir jāatspoguļo Sabiedrības vispārējie darbības rezultāti, kā arī Valdes locekļu personīgais </w:t>
      </w:r>
      <w:r w:rsidR="004B74CE" w:rsidRPr="007E7DF5">
        <w:rPr>
          <w:rFonts w:cstheme="minorHAnsi"/>
          <w:lang w:val="lv-LV"/>
        </w:rPr>
        <w:t>un to vadīto struktūrvienību</w:t>
      </w:r>
      <w:r w:rsidRPr="007E7DF5">
        <w:rPr>
          <w:rFonts w:cstheme="minorHAnsi"/>
          <w:lang w:val="lv-LV"/>
        </w:rPr>
        <w:t xml:space="preserve"> </w:t>
      </w:r>
      <w:r w:rsidR="004B74CE" w:rsidRPr="007E7DF5">
        <w:rPr>
          <w:rFonts w:cstheme="minorHAnsi"/>
          <w:lang w:val="lv-LV"/>
        </w:rPr>
        <w:t xml:space="preserve">ieguldījums </w:t>
      </w:r>
      <w:r w:rsidRPr="007E7DF5">
        <w:rPr>
          <w:rFonts w:cstheme="minorHAnsi"/>
          <w:lang w:val="lv-LV"/>
        </w:rPr>
        <w:t>Sabiedrības darbībā</w:t>
      </w:r>
      <w:r w:rsidR="004B74CE" w:rsidRPr="007E7DF5">
        <w:rPr>
          <w:rFonts w:cstheme="minorHAnsi"/>
          <w:lang w:val="lv-LV"/>
        </w:rPr>
        <w:t>, saskaņā ar Sabiedrībā aktuālo Darba snieguma rādītāju kārtību.</w:t>
      </w:r>
    </w:p>
    <w:p w14:paraId="4AD0BC79" w14:textId="158EE1A6" w:rsidR="00D472F5" w:rsidRPr="00AC7C62" w:rsidRDefault="00E13F1F" w:rsidP="00D472F5">
      <w:pPr>
        <w:pStyle w:val="ListParagraph"/>
        <w:numPr>
          <w:ilvl w:val="1"/>
          <w:numId w:val="2"/>
        </w:numPr>
        <w:spacing w:before="160" w:after="0" w:line="240" w:lineRule="auto"/>
        <w:contextualSpacing w:val="0"/>
        <w:jc w:val="both"/>
        <w:rPr>
          <w:rFonts w:cstheme="minorHAnsi"/>
          <w:lang w:val="lv-LV"/>
        </w:rPr>
      </w:pPr>
      <w:r w:rsidRPr="00AC7C62">
        <w:rPr>
          <w:rFonts w:cstheme="minorHAnsi"/>
          <w:lang w:val="lv-LV"/>
        </w:rPr>
        <w:t xml:space="preserve">Papildus Fiksētajam un Mainīgajam atalgojumam, Sabiedrība Valdes locekļiem atkarībā no viņu ieņemamā amata, pienākumiem un atbildības apmēra var piešķirt citus </w:t>
      </w:r>
      <w:r w:rsidR="008531E9" w:rsidRPr="00AC7C62">
        <w:rPr>
          <w:rFonts w:cstheme="minorHAnsi"/>
          <w:lang w:val="lv-LV"/>
        </w:rPr>
        <w:t>P</w:t>
      </w:r>
      <w:r w:rsidRPr="00AC7C62">
        <w:rPr>
          <w:rFonts w:cstheme="minorHAnsi"/>
          <w:lang w:val="lv-LV"/>
        </w:rPr>
        <w:t>apildu labumus</w:t>
      </w:r>
      <w:r w:rsidR="004B74CE" w:rsidRPr="00AC7C62">
        <w:rPr>
          <w:rFonts w:cstheme="minorHAnsi"/>
          <w:lang w:val="lv-LV"/>
        </w:rPr>
        <w:t xml:space="preserve"> saskaņā ar</w:t>
      </w:r>
      <w:r w:rsidR="004B74CE" w:rsidRPr="007E7DF5">
        <w:rPr>
          <w:rFonts w:cstheme="minorHAnsi"/>
          <w:lang w:val="lv-LV"/>
        </w:rPr>
        <w:t xml:space="preserve"> Valdes Pilnvarojuma līgumu</w:t>
      </w:r>
      <w:r w:rsidR="00D21F86">
        <w:rPr>
          <w:rFonts w:cstheme="minorHAnsi"/>
          <w:lang w:val="lv-LV"/>
        </w:rPr>
        <w:t xml:space="preserve"> par </w:t>
      </w:r>
      <w:r w:rsidR="00D21F86" w:rsidRPr="00D21F86">
        <w:rPr>
          <w:rFonts w:cstheme="minorHAnsi"/>
          <w:lang w:val="lv-LV"/>
        </w:rPr>
        <w:t>Valdes locekļu pienākumu izpildi</w:t>
      </w:r>
      <w:r w:rsidR="000F3019" w:rsidRPr="007E7DF5">
        <w:rPr>
          <w:rFonts w:cstheme="minorHAnsi"/>
          <w:lang w:val="lv-LV"/>
        </w:rPr>
        <w:t>.</w:t>
      </w:r>
      <w:r w:rsidR="008531E9">
        <w:rPr>
          <w:rFonts w:cstheme="minorHAnsi"/>
          <w:lang w:val="lv-LV"/>
        </w:rPr>
        <w:t xml:space="preserve"> </w:t>
      </w:r>
      <w:r w:rsidR="008531E9" w:rsidRPr="00AC7C62">
        <w:rPr>
          <w:rFonts w:cstheme="minorHAnsi"/>
          <w:lang w:val="lv-LV"/>
        </w:rPr>
        <w:t>Pilnvarojuma līgumā par Valdes locekļu pienākumu izpildi ietvertos Papildu labumus</w:t>
      </w:r>
      <w:r w:rsidR="00D472F5" w:rsidRPr="00AC7C62">
        <w:rPr>
          <w:rFonts w:cstheme="minorHAnsi"/>
          <w:lang w:val="lv-LV"/>
        </w:rPr>
        <w:t xml:space="preserve"> ietver atbilstoši Sabiedrības Valdes priekšlikumiem, izvērtējot individuāli katrā konkrētajā gadījumā, ņemot vērā objektīvo nepieciešamību un Sabiedrības iespējas.</w:t>
      </w:r>
    </w:p>
    <w:p w14:paraId="46A6F472" w14:textId="37DAEC6B" w:rsidR="00243487" w:rsidRPr="007E7DF5" w:rsidRDefault="00E13F1F" w:rsidP="000612CF">
      <w:pPr>
        <w:pStyle w:val="ListParagraph"/>
        <w:numPr>
          <w:ilvl w:val="1"/>
          <w:numId w:val="2"/>
        </w:numPr>
        <w:spacing w:before="160" w:after="0" w:line="240" w:lineRule="auto"/>
        <w:ind w:left="576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>Sabiedrība var atlikt Mainīgā atalgojuma izmaksu</w:t>
      </w:r>
      <w:r w:rsidR="005619AE">
        <w:rPr>
          <w:rFonts w:cstheme="minorHAnsi"/>
          <w:lang w:val="lv-LV"/>
        </w:rPr>
        <w:t>.</w:t>
      </w:r>
      <w:r w:rsidRPr="007E7DF5">
        <w:rPr>
          <w:rFonts w:cstheme="minorHAnsi"/>
          <w:lang w:val="lv-LV"/>
        </w:rPr>
        <w:t xml:space="preserve"> Mainīgā atalgojuma maksimālais atlikšanas periods ir </w:t>
      </w:r>
      <w:r w:rsidR="005619AE">
        <w:rPr>
          <w:rFonts w:cstheme="minorHAnsi"/>
          <w:lang w:val="lv-LV"/>
        </w:rPr>
        <w:t>viens</w:t>
      </w:r>
      <w:r w:rsidRPr="00D2219A">
        <w:rPr>
          <w:rFonts w:cstheme="minorHAnsi"/>
          <w:lang w:val="lv-LV"/>
        </w:rPr>
        <w:t xml:space="preserve"> gads.</w:t>
      </w:r>
      <w:r w:rsidRPr="007E7DF5">
        <w:rPr>
          <w:rFonts w:cstheme="minorHAnsi"/>
          <w:lang w:val="lv-LV"/>
        </w:rPr>
        <w:t xml:space="preserve"> Par Mainīgā atalgojuma atlikšanu lemj Padome.</w:t>
      </w:r>
    </w:p>
    <w:p w14:paraId="5D645959" w14:textId="6E603E5C" w:rsidR="00E13F1F" w:rsidRPr="007E7DF5" w:rsidRDefault="00E13F1F" w:rsidP="000612CF">
      <w:pPr>
        <w:pStyle w:val="ListParagraph"/>
        <w:numPr>
          <w:ilvl w:val="1"/>
          <w:numId w:val="2"/>
        </w:numPr>
        <w:spacing w:before="160" w:after="0" w:line="240" w:lineRule="auto"/>
        <w:ind w:left="576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>Nosacījumus, kuriem iestājoties, tiek atlikta Mainīgā atalgojuma izmaksa, nosaka Padome, vadoties no Sabiedrības finanšu stāvokļa.</w:t>
      </w:r>
    </w:p>
    <w:p w14:paraId="7D454A87" w14:textId="737E7585" w:rsidR="00243487" w:rsidRPr="007E7DF5" w:rsidRDefault="00243487" w:rsidP="000612CF">
      <w:pPr>
        <w:spacing w:after="0" w:line="240" w:lineRule="auto"/>
        <w:rPr>
          <w:rFonts w:cstheme="minorHAnsi"/>
          <w:lang w:val="lv-LV"/>
        </w:rPr>
      </w:pPr>
    </w:p>
    <w:p w14:paraId="3CB59CF5" w14:textId="07D802DB" w:rsidR="000F3019" w:rsidRPr="007E7DF5" w:rsidRDefault="00243487" w:rsidP="00942FA8">
      <w:pPr>
        <w:pStyle w:val="ListParagraph"/>
        <w:numPr>
          <w:ilvl w:val="0"/>
          <w:numId w:val="2"/>
        </w:numPr>
        <w:spacing w:before="240" w:after="0" w:line="240" w:lineRule="auto"/>
        <w:contextualSpacing w:val="0"/>
        <w:jc w:val="both"/>
        <w:rPr>
          <w:rFonts w:cstheme="minorHAnsi"/>
          <w:b/>
          <w:bCs/>
          <w:sz w:val="24"/>
          <w:szCs w:val="24"/>
          <w:lang w:val="lv-LV"/>
        </w:rPr>
      </w:pPr>
      <w:r w:rsidRPr="007E7DF5">
        <w:rPr>
          <w:rFonts w:cstheme="minorHAnsi"/>
          <w:b/>
          <w:bCs/>
          <w:sz w:val="24"/>
          <w:szCs w:val="24"/>
          <w:lang w:val="lv-LV"/>
        </w:rPr>
        <w:t>DARBA SNIEGUMA RĀDĪTĀJI</w:t>
      </w:r>
      <w:r w:rsidR="00296560">
        <w:rPr>
          <w:rFonts w:cstheme="minorHAnsi"/>
          <w:b/>
          <w:bCs/>
          <w:sz w:val="24"/>
          <w:szCs w:val="24"/>
          <w:lang w:val="lv-LV"/>
        </w:rPr>
        <w:t xml:space="preserve"> (KPI)</w:t>
      </w:r>
    </w:p>
    <w:p w14:paraId="78AA5D43" w14:textId="5112A39E" w:rsidR="000F3019" w:rsidRPr="007E7DF5" w:rsidRDefault="00243487" w:rsidP="008A275E">
      <w:pPr>
        <w:pStyle w:val="ListParagraph"/>
        <w:numPr>
          <w:ilvl w:val="1"/>
          <w:numId w:val="2"/>
        </w:numPr>
        <w:spacing w:before="160" w:after="0" w:line="240" w:lineRule="auto"/>
        <w:contextualSpacing w:val="0"/>
        <w:jc w:val="both"/>
        <w:rPr>
          <w:rFonts w:cstheme="minorHAnsi"/>
          <w:lang w:val="lv-LV"/>
        </w:rPr>
      </w:pPr>
      <w:r w:rsidRPr="00AC7C62">
        <w:rPr>
          <w:rFonts w:cstheme="minorHAnsi"/>
          <w:lang w:val="lv-LV"/>
        </w:rPr>
        <w:t>Valdes locekļu Mainīgais atalgojum</w:t>
      </w:r>
      <w:r w:rsidR="00D21F86" w:rsidRPr="00AC7C62">
        <w:rPr>
          <w:rFonts w:cstheme="minorHAnsi"/>
          <w:lang w:val="lv-LV"/>
        </w:rPr>
        <w:t>a viena no sastāvdaļām</w:t>
      </w:r>
      <w:r w:rsidRPr="00AC7C62">
        <w:rPr>
          <w:rFonts w:cstheme="minorHAnsi"/>
          <w:lang w:val="lv-LV"/>
        </w:rPr>
        <w:t xml:space="preserve"> ir KPI</w:t>
      </w:r>
      <w:r w:rsidR="000F3019" w:rsidRPr="00AC7C62">
        <w:rPr>
          <w:rFonts w:cstheme="minorHAnsi"/>
          <w:lang w:val="lv-LV"/>
        </w:rPr>
        <w:t xml:space="preserve"> izpilde</w:t>
      </w:r>
      <w:r w:rsidRPr="007E7DF5">
        <w:rPr>
          <w:rFonts w:cstheme="minorHAnsi"/>
          <w:lang w:val="lv-LV"/>
        </w:rPr>
        <w:t>.</w:t>
      </w:r>
    </w:p>
    <w:p w14:paraId="30674BFC" w14:textId="4234C135" w:rsidR="00243487" w:rsidRPr="007E7DF5" w:rsidRDefault="00D21F86" w:rsidP="008A275E">
      <w:pPr>
        <w:pStyle w:val="ListParagraph"/>
        <w:numPr>
          <w:ilvl w:val="1"/>
          <w:numId w:val="2"/>
        </w:numPr>
        <w:spacing w:before="160" w:after="0" w:line="240" w:lineRule="auto"/>
        <w:contextualSpacing w:val="0"/>
        <w:jc w:val="both"/>
        <w:rPr>
          <w:rFonts w:cstheme="minorHAnsi"/>
          <w:lang w:val="lv-LV"/>
        </w:rPr>
      </w:pPr>
      <w:r>
        <w:rPr>
          <w:rFonts w:cstheme="minorHAnsi"/>
          <w:lang w:val="lv-LV"/>
        </w:rPr>
        <w:t>Valdes locekļu KPI</w:t>
      </w:r>
      <w:r w:rsidR="00942FA8" w:rsidRPr="007E7DF5">
        <w:rPr>
          <w:rFonts w:cstheme="minorHAnsi"/>
          <w:lang w:val="lv-LV"/>
        </w:rPr>
        <w:t xml:space="preserve"> </w:t>
      </w:r>
      <w:r>
        <w:rPr>
          <w:rFonts w:cstheme="minorHAnsi"/>
          <w:lang w:val="lv-LV"/>
        </w:rPr>
        <w:t>nosaka</w:t>
      </w:r>
      <w:r w:rsidR="00600300" w:rsidRPr="007E7DF5">
        <w:rPr>
          <w:rFonts w:cstheme="minorHAnsi"/>
          <w:lang w:val="lv-LV"/>
        </w:rPr>
        <w:t xml:space="preserve"> Sabiedrības Padom</w:t>
      </w:r>
      <w:r>
        <w:rPr>
          <w:rFonts w:cstheme="minorHAnsi"/>
          <w:lang w:val="lv-LV"/>
        </w:rPr>
        <w:t>e</w:t>
      </w:r>
      <w:r w:rsidR="00243487" w:rsidRPr="007E7DF5">
        <w:rPr>
          <w:rFonts w:cstheme="minorHAnsi"/>
          <w:lang w:val="lv-LV"/>
        </w:rPr>
        <w:t>.</w:t>
      </w:r>
    </w:p>
    <w:p w14:paraId="66EB42A6" w14:textId="03D9BBC7" w:rsidR="00243487" w:rsidRPr="007E7DF5" w:rsidRDefault="00243487" w:rsidP="008A275E">
      <w:pPr>
        <w:pStyle w:val="ListParagraph"/>
        <w:numPr>
          <w:ilvl w:val="1"/>
          <w:numId w:val="2"/>
        </w:numPr>
        <w:spacing w:before="16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 xml:space="preserve">Mainīgais atalgojums ir balstīts uz </w:t>
      </w:r>
      <w:r w:rsidR="00600300" w:rsidRPr="007E7DF5">
        <w:rPr>
          <w:rFonts w:cstheme="minorHAnsi"/>
          <w:lang w:val="lv-LV"/>
        </w:rPr>
        <w:t xml:space="preserve">konkrētā Valdes locekļa </w:t>
      </w:r>
      <w:r w:rsidR="00942FA8" w:rsidRPr="007E7DF5">
        <w:rPr>
          <w:rFonts w:cstheme="minorHAnsi"/>
          <w:lang w:val="lv-LV"/>
        </w:rPr>
        <w:t xml:space="preserve">KPI izpildi </w:t>
      </w:r>
      <w:r w:rsidRPr="007E7DF5">
        <w:rPr>
          <w:rFonts w:cstheme="minorHAnsi"/>
          <w:lang w:val="lv-LV"/>
        </w:rPr>
        <w:t>apvienojumā ar Sabiedrības vispārējiem darbības rezultātiem.</w:t>
      </w:r>
    </w:p>
    <w:p w14:paraId="16685196" w14:textId="0D738357" w:rsidR="00243487" w:rsidRPr="007E7DF5" w:rsidRDefault="00243487" w:rsidP="000612CF">
      <w:pPr>
        <w:spacing w:after="0" w:line="240" w:lineRule="auto"/>
        <w:rPr>
          <w:rFonts w:cstheme="minorHAnsi"/>
          <w:lang w:val="lv-LV"/>
        </w:rPr>
      </w:pPr>
    </w:p>
    <w:p w14:paraId="20467896" w14:textId="0345ECEA" w:rsidR="00243487" w:rsidRPr="007E7DF5" w:rsidRDefault="00243487" w:rsidP="00942FA8">
      <w:pPr>
        <w:pStyle w:val="ListParagraph"/>
        <w:numPr>
          <w:ilvl w:val="0"/>
          <w:numId w:val="2"/>
        </w:numPr>
        <w:spacing w:before="240" w:after="0" w:line="240" w:lineRule="auto"/>
        <w:contextualSpacing w:val="0"/>
        <w:jc w:val="both"/>
        <w:rPr>
          <w:rFonts w:cstheme="minorHAnsi"/>
          <w:b/>
          <w:bCs/>
          <w:sz w:val="24"/>
          <w:szCs w:val="24"/>
          <w:lang w:val="lv-LV"/>
        </w:rPr>
      </w:pPr>
      <w:r w:rsidRPr="007E7DF5">
        <w:rPr>
          <w:rFonts w:cstheme="minorHAnsi"/>
          <w:b/>
          <w:bCs/>
          <w:sz w:val="24"/>
          <w:szCs w:val="24"/>
          <w:lang w:val="lv-LV"/>
        </w:rPr>
        <w:t xml:space="preserve">AR </w:t>
      </w:r>
      <w:r w:rsidR="00866D34">
        <w:rPr>
          <w:rFonts w:cstheme="minorHAnsi"/>
          <w:b/>
          <w:bCs/>
          <w:sz w:val="24"/>
          <w:szCs w:val="24"/>
          <w:lang w:val="lv-LV"/>
        </w:rPr>
        <w:t>VALDES LOCEKĻU PILNVARU TERMIŅA</w:t>
      </w:r>
      <w:r w:rsidRPr="007E7DF5">
        <w:rPr>
          <w:rFonts w:cstheme="minorHAnsi"/>
          <w:b/>
          <w:bCs/>
          <w:sz w:val="24"/>
          <w:szCs w:val="24"/>
          <w:lang w:val="lv-LV"/>
        </w:rPr>
        <w:t xml:space="preserve"> IZBEIGŠANU SAISTĪT</w:t>
      </w:r>
      <w:r w:rsidR="00866D34">
        <w:rPr>
          <w:rFonts w:cstheme="minorHAnsi"/>
          <w:b/>
          <w:bCs/>
          <w:sz w:val="24"/>
          <w:szCs w:val="24"/>
          <w:lang w:val="lv-LV"/>
        </w:rPr>
        <w:t>O</w:t>
      </w:r>
      <w:r w:rsidRPr="007E7DF5">
        <w:rPr>
          <w:rFonts w:cstheme="minorHAnsi"/>
          <w:b/>
          <w:bCs/>
          <w:sz w:val="24"/>
          <w:szCs w:val="24"/>
          <w:lang w:val="lv-LV"/>
        </w:rPr>
        <w:t xml:space="preserve"> NOSACĪJUM</w:t>
      </w:r>
      <w:r w:rsidR="00866D34">
        <w:rPr>
          <w:rFonts w:cstheme="minorHAnsi"/>
          <w:b/>
          <w:bCs/>
          <w:sz w:val="24"/>
          <w:szCs w:val="24"/>
          <w:lang w:val="lv-LV"/>
        </w:rPr>
        <w:t>U</w:t>
      </w:r>
      <w:r w:rsidRPr="007E7DF5">
        <w:rPr>
          <w:rFonts w:cstheme="minorHAnsi"/>
          <w:b/>
          <w:bCs/>
          <w:sz w:val="24"/>
          <w:szCs w:val="24"/>
          <w:lang w:val="lv-LV"/>
        </w:rPr>
        <w:t xml:space="preserve"> MAKSĀJUMI</w:t>
      </w:r>
    </w:p>
    <w:p w14:paraId="0ACC2779" w14:textId="11CE7F95" w:rsidR="00243487" w:rsidRPr="007E7DF5" w:rsidRDefault="00866D34" w:rsidP="000612CF">
      <w:pPr>
        <w:pStyle w:val="ListParagraph"/>
        <w:numPr>
          <w:ilvl w:val="1"/>
          <w:numId w:val="2"/>
        </w:numPr>
        <w:spacing w:before="160" w:after="0" w:line="240" w:lineRule="auto"/>
        <w:contextualSpacing w:val="0"/>
        <w:jc w:val="both"/>
        <w:rPr>
          <w:rFonts w:cstheme="minorHAnsi"/>
          <w:lang w:val="lv-LV"/>
        </w:rPr>
      </w:pPr>
      <w:r>
        <w:t>Pilnvarojuma līgumā par Valdes locekļa pienākumu izpildi Valdes locekļiem var pielīgt atsaukšanas pabalstu, ja Valdes</w:t>
      </w:r>
      <w:r w:rsidRPr="00866D34">
        <w:rPr>
          <w:rFonts w:cstheme="minorHAnsi"/>
          <w:lang w:val="lv-LV"/>
        </w:rPr>
        <w:t xml:space="preserve"> loceklis no amata atsaukts pirms pilnvaru termiņa beigām un ja atsaukšana nav saistīta ar pilnvaru pārkāpšanu, pienākumu neizpildi vai nepienācīgu izpildi, kā arī ar kaitējuma nodarīšanu </w:t>
      </w:r>
      <w:r>
        <w:rPr>
          <w:rFonts w:cstheme="minorHAnsi"/>
          <w:lang w:val="lv-LV"/>
        </w:rPr>
        <w:t>S</w:t>
      </w:r>
      <w:r w:rsidRPr="00866D34">
        <w:rPr>
          <w:rFonts w:cstheme="minorHAnsi"/>
          <w:lang w:val="lv-LV"/>
        </w:rPr>
        <w:t xml:space="preserve">abiedrības interesēm. Atsaukšanas pabalstu nevar paredzēt, ja </w:t>
      </w:r>
      <w:r>
        <w:rPr>
          <w:rFonts w:cstheme="minorHAnsi"/>
          <w:lang w:val="lv-LV"/>
        </w:rPr>
        <w:t>V</w:t>
      </w:r>
      <w:r w:rsidRPr="00866D34">
        <w:rPr>
          <w:rFonts w:cstheme="minorHAnsi"/>
          <w:lang w:val="lv-LV"/>
        </w:rPr>
        <w:t xml:space="preserve">aldes loceklis ievēlēts </w:t>
      </w:r>
      <w:r>
        <w:rPr>
          <w:rFonts w:cstheme="minorHAnsi"/>
          <w:lang w:val="lv-LV"/>
        </w:rPr>
        <w:t xml:space="preserve">Publiskas personas kapitāla daļu un kapitālsabiedrību pārvaldības </w:t>
      </w:r>
      <w:r w:rsidRPr="00866D34">
        <w:rPr>
          <w:rFonts w:cstheme="minorHAnsi"/>
          <w:lang w:val="lv-LV"/>
        </w:rPr>
        <w:t>likuma 31.panta astotās daļas 2.punktā noteiktajā kārtībā.</w:t>
      </w:r>
      <w:r>
        <w:rPr>
          <w:rFonts w:cstheme="minorHAnsi"/>
          <w:lang w:val="lv-LV"/>
        </w:rPr>
        <w:t xml:space="preserve"> </w:t>
      </w:r>
      <w:r w:rsidR="00C744F8">
        <w:rPr>
          <w:rFonts w:cstheme="minorHAnsi"/>
          <w:lang w:val="lv-LV"/>
        </w:rPr>
        <w:t>A</w:t>
      </w:r>
      <w:r w:rsidRPr="00866D34">
        <w:rPr>
          <w:rFonts w:cstheme="minorHAnsi"/>
          <w:lang w:val="lv-LV"/>
        </w:rPr>
        <w:t xml:space="preserve">tsaukšanas pabalstu </w:t>
      </w:r>
      <w:r w:rsidR="00C744F8">
        <w:rPr>
          <w:rFonts w:cstheme="minorHAnsi"/>
          <w:lang w:val="lv-LV"/>
        </w:rPr>
        <w:t xml:space="preserve">Valdes locekļiem var pielīgt </w:t>
      </w:r>
      <w:r w:rsidRPr="00866D34">
        <w:rPr>
          <w:rFonts w:cstheme="minorHAnsi"/>
          <w:lang w:val="lv-LV"/>
        </w:rPr>
        <w:t xml:space="preserve">ne vairāk kā triju mēneša </w:t>
      </w:r>
      <w:r w:rsidR="00C744F8">
        <w:rPr>
          <w:rFonts w:cstheme="minorHAnsi"/>
          <w:lang w:val="lv-LV"/>
        </w:rPr>
        <w:t xml:space="preserve">Fiksētā atalgojuma apmērā. Atsaukšanas </w:t>
      </w:r>
      <w:r w:rsidR="00C744F8" w:rsidRPr="00C744F8">
        <w:rPr>
          <w:rFonts w:cstheme="minorHAnsi"/>
          <w:lang w:val="lv-LV"/>
        </w:rPr>
        <w:t>pabalstu Valdes locekļiem var pielīgt ne vairāk kā triju mēneša Fiksētā atalgojuma apmērās</w:t>
      </w:r>
      <w:r w:rsidR="00C744F8">
        <w:rPr>
          <w:rFonts w:cstheme="minorHAnsi"/>
          <w:lang w:val="lv-LV"/>
        </w:rPr>
        <w:t xml:space="preserve"> arī</w:t>
      </w:r>
      <w:r w:rsidRPr="00866D34">
        <w:rPr>
          <w:rFonts w:cstheme="minorHAnsi"/>
          <w:lang w:val="lv-LV"/>
        </w:rPr>
        <w:t xml:space="preserve">, ja </w:t>
      </w:r>
      <w:r w:rsidR="00C744F8">
        <w:rPr>
          <w:rFonts w:cstheme="minorHAnsi"/>
          <w:lang w:val="lv-LV"/>
        </w:rPr>
        <w:t>V</w:t>
      </w:r>
      <w:r w:rsidRPr="00866D34">
        <w:rPr>
          <w:rFonts w:cstheme="minorHAnsi"/>
          <w:lang w:val="lv-LV"/>
        </w:rPr>
        <w:t xml:space="preserve">aldes loceklis zaudē amatu </w:t>
      </w:r>
      <w:r w:rsidR="00C744F8">
        <w:rPr>
          <w:rFonts w:cstheme="minorHAnsi"/>
          <w:lang w:val="lv-LV"/>
        </w:rPr>
        <w:t>S</w:t>
      </w:r>
      <w:r w:rsidRPr="00866D34">
        <w:rPr>
          <w:rFonts w:cstheme="minorHAnsi"/>
          <w:lang w:val="lv-LV"/>
        </w:rPr>
        <w:t>abiedrības reorganizācijas vai likvidācijas gadījumā.</w:t>
      </w:r>
    </w:p>
    <w:p w14:paraId="1CB657C1" w14:textId="3A9F45DC" w:rsidR="00243487" w:rsidRPr="007E7DF5" w:rsidRDefault="00243487" w:rsidP="000612CF">
      <w:pPr>
        <w:spacing w:after="0" w:line="240" w:lineRule="auto"/>
        <w:rPr>
          <w:rFonts w:cstheme="minorHAnsi"/>
          <w:lang w:val="lv-LV"/>
        </w:rPr>
      </w:pPr>
    </w:p>
    <w:p w14:paraId="69E27628" w14:textId="00C25D3B" w:rsidR="00243487" w:rsidRPr="007E7DF5" w:rsidRDefault="00243487" w:rsidP="00942FA8">
      <w:pPr>
        <w:pStyle w:val="ListParagraph"/>
        <w:numPr>
          <w:ilvl w:val="0"/>
          <w:numId w:val="2"/>
        </w:numPr>
        <w:spacing w:before="240" w:after="0" w:line="240" w:lineRule="auto"/>
        <w:contextualSpacing w:val="0"/>
        <w:jc w:val="both"/>
        <w:rPr>
          <w:rFonts w:cstheme="minorHAnsi"/>
          <w:b/>
          <w:bCs/>
          <w:sz w:val="24"/>
          <w:szCs w:val="24"/>
          <w:lang w:val="lv-LV"/>
        </w:rPr>
      </w:pPr>
      <w:r w:rsidRPr="007E7DF5">
        <w:rPr>
          <w:rFonts w:cstheme="minorHAnsi"/>
          <w:b/>
          <w:bCs/>
          <w:sz w:val="24"/>
          <w:szCs w:val="24"/>
          <w:lang w:val="lv-LV"/>
        </w:rPr>
        <w:t>ATALGOJUMA ZIŅOJUMS</w:t>
      </w:r>
    </w:p>
    <w:p w14:paraId="12DD7BE8" w14:textId="4A4F3652" w:rsidR="00243487" w:rsidRDefault="00243487" w:rsidP="000612CF">
      <w:pPr>
        <w:pStyle w:val="ListParagraph"/>
        <w:numPr>
          <w:ilvl w:val="1"/>
          <w:numId w:val="2"/>
        </w:numPr>
        <w:spacing w:before="16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>Valde sagatavo gada ziņojumu par Atalgojumu, kas ir piešķirts iepriekšējā finanšu gada laikā katram esošajam vai bijušajam Valdes loceklim</w:t>
      </w:r>
      <w:r w:rsidR="00C744F8">
        <w:rPr>
          <w:rFonts w:cstheme="minorHAnsi"/>
          <w:lang w:val="lv-LV"/>
        </w:rPr>
        <w:t>, ko publisko Sabiedrības tīmekļa vietnē</w:t>
      </w:r>
      <w:r w:rsidRPr="007E7DF5">
        <w:rPr>
          <w:rFonts w:cstheme="minorHAnsi"/>
          <w:lang w:val="lv-LV"/>
        </w:rPr>
        <w:t>.</w:t>
      </w:r>
    </w:p>
    <w:p w14:paraId="44325806" w14:textId="77777777" w:rsidR="00057301" w:rsidRPr="00057301" w:rsidRDefault="00057301" w:rsidP="00057301">
      <w:pPr>
        <w:spacing w:before="160" w:after="0" w:line="240" w:lineRule="auto"/>
        <w:ind w:left="360"/>
        <w:jc w:val="both"/>
        <w:rPr>
          <w:rFonts w:cstheme="minorHAnsi"/>
          <w:lang w:val="lv-LV"/>
        </w:rPr>
      </w:pPr>
    </w:p>
    <w:p w14:paraId="6B1E16EA" w14:textId="6B78CA9B" w:rsidR="00243487" w:rsidRPr="007E7DF5" w:rsidRDefault="00243487" w:rsidP="00942FA8">
      <w:pPr>
        <w:pStyle w:val="ListParagraph"/>
        <w:numPr>
          <w:ilvl w:val="0"/>
          <w:numId w:val="2"/>
        </w:numPr>
        <w:spacing w:before="240" w:after="0" w:line="240" w:lineRule="auto"/>
        <w:contextualSpacing w:val="0"/>
        <w:jc w:val="both"/>
        <w:rPr>
          <w:rFonts w:cstheme="minorHAnsi"/>
          <w:b/>
          <w:bCs/>
          <w:lang w:val="lv-LV"/>
        </w:rPr>
      </w:pPr>
      <w:r w:rsidRPr="007E7DF5">
        <w:rPr>
          <w:rFonts w:cstheme="minorHAnsi"/>
          <w:b/>
          <w:bCs/>
          <w:lang w:val="lv-LV"/>
        </w:rPr>
        <w:lastRenderedPageBreak/>
        <w:t>POLITIKAS NOTEIKŠANA, PĀRSKATĪŠANA UN PIEMĒROŠANA</w:t>
      </w:r>
    </w:p>
    <w:p w14:paraId="26616518" w14:textId="4C5856EC" w:rsidR="00243487" w:rsidRPr="007E7DF5" w:rsidRDefault="00243487" w:rsidP="000612CF">
      <w:pPr>
        <w:pStyle w:val="ListParagraph"/>
        <w:numPr>
          <w:ilvl w:val="1"/>
          <w:numId w:val="2"/>
        </w:numPr>
        <w:spacing w:before="16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 xml:space="preserve">Politiku, tās grozījumus un papildinājumus </w:t>
      </w:r>
      <w:r w:rsidRPr="00057301">
        <w:rPr>
          <w:rFonts w:cstheme="minorHAnsi"/>
          <w:lang w:val="lv-LV"/>
        </w:rPr>
        <w:t xml:space="preserve">apstiprina Sabiedrības </w:t>
      </w:r>
      <w:r w:rsidR="00A8566B" w:rsidRPr="00057301">
        <w:rPr>
          <w:rFonts w:cstheme="minorHAnsi"/>
          <w:lang w:val="lv-LV"/>
        </w:rPr>
        <w:t>Padome</w:t>
      </w:r>
      <w:r w:rsidRPr="00057301">
        <w:rPr>
          <w:rFonts w:cstheme="minorHAnsi"/>
          <w:lang w:val="lv-LV"/>
        </w:rPr>
        <w:t>.</w:t>
      </w:r>
      <w:r w:rsidRPr="007E7DF5">
        <w:rPr>
          <w:rFonts w:cstheme="minorHAnsi"/>
          <w:lang w:val="lv-LV"/>
        </w:rPr>
        <w:t xml:space="preserve"> Politika tiek pārskatīta pēc nepieciešamības.</w:t>
      </w:r>
    </w:p>
    <w:p w14:paraId="31FD59F6" w14:textId="26E2E6AE" w:rsidR="00296560" w:rsidRPr="00057301" w:rsidRDefault="00243487" w:rsidP="00057301">
      <w:pPr>
        <w:pStyle w:val="ListParagraph"/>
        <w:numPr>
          <w:ilvl w:val="1"/>
          <w:numId w:val="2"/>
        </w:numPr>
        <w:spacing w:before="160" w:after="0" w:line="240" w:lineRule="auto"/>
        <w:contextualSpacing w:val="0"/>
        <w:jc w:val="both"/>
        <w:rPr>
          <w:rFonts w:cstheme="minorHAnsi"/>
          <w:lang w:val="lv-LV"/>
        </w:rPr>
      </w:pPr>
      <w:r w:rsidRPr="007E7DF5">
        <w:rPr>
          <w:rFonts w:cstheme="minorHAnsi"/>
          <w:lang w:val="lv-LV"/>
        </w:rPr>
        <w:t xml:space="preserve">Sabiedrība nodrošina, ka Atalgojums Valdes locekļiem tiek </w:t>
      </w:r>
      <w:r w:rsidR="00A4302A">
        <w:rPr>
          <w:rFonts w:cstheme="minorHAnsi"/>
          <w:lang w:val="lv-LV"/>
        </w:rPr>
        <w:t>izmaksāts</w:t>
      </w:r>
      <w:r w:rsidRPr="007E7DF5">
        <w:rPr>
          <w:rFonts w:cstheme="minorHAnsi"/>
          <w:lang w:val="lv-LV"/>
        </w:rPr>
        <w:t xml:space="preserve"> </w:t>
      </w:r>
      <w:r w:rsidRPr="00057301">
        <w:rPr>
          <w:rFonts w:cstheme="minorHAnsi"/>
          <w:lang w:val="lv-LV"/>
        </w:rPr>
        <w:t xml:space="preserve">atbilstoši </w:t>
      </w:r>
      <w:r w:rsidR="00A8566B" w:rsidRPr="00057301">
        <w:rPr>
          <w:rFonts w:cstheme="minorHAnsi"/>
          <w:lang w:val="lv-LV"/>
        </w:rPr>
        <w:t>Padomē</w:t>
      </w:r>
      <w:r w:rsidRPr="00057301">
        <w:rPr>
          <w:rFonts w:cstheme="minorHAnsi"/>
          <w:lang w:val="lv-LV"/>
        </w:rPr>
        <w:t xml:space="preserve"> apstiprinātai Politikai</w:t>
      </w:r>
      <w:r w:rsidR="00A4302A" w:rsidRPr="00057301">
        <w:rPr>
          <w:rFonts w:cstheme="minorHAnsi"/>
          <w:lang w:val="lv-LV"/>
        </w:rPr>
        <w:t xml:space="preserve"> un Padomes lēmumiem</w:t>
      </w:r>
      <w:r w:rsidRPr="00057301">
        <w:rPr>
          <w:rFonts w:cstheme="minorHAnsi"/>
          <w:lang w:val="lv-LV"/>
        </w:rPr>
        <w:t>.</w:t>
      </w:r>
    </w:p>
    <w:p w14:paraId="6B9749BB" w14:textId="77777777" w:rsidR="00296560" w:rsidRDefault="00296560" w:rsidP="00296560">
      <w:pPr>
        <w:spacing w:before="160" w:after="0" w:line="240" w:lineRule="auto"/>
        <w:ind w:left="360"/>
        <w:jc w:val="both"/>
        <w:rPr>
          <w:rFonts w:cstheme="minorHAnsi"/>
          <w:lang w:val="lv-LV"/>
        </w:rPr>
      </w:pPr>
    </w:p>
    <w:p w14:paraId="103FF3A4" w14:textId="77777777" w:rsidR="00296560" w:rsidRPr="00057301" w:rsidRDefault="00296560" w:rsidP="00296560">
      <w:pPr>
        <w:spacing w:before="160" w:after="0" w:line="240" w:lineRule="auto"/>
        <w:ind w:left="360"/>
        <w:jc w:val="both"/>
        <w:rPr>
          <w:rFonts w:cstheme="minorHAnsi"/>
          <w:lang w:val="lv-LV"/>
        </w:rPr>
      </w:pPr>
      <w:r w:rsidRPr="00057301">
        <w:rPr>
          <w:rFonts w:cstheme="minorHAnsi"/>
          <w:lang w:val="lv-LV"/>
        </w:rPr>
        <w:t>Padomes priekšsēdētājs</w:t>
      </w:r>
      <w:r w:rsidRPr="00057301">
        <w:rPr>
          <w:rFonts w:cstheme="minorHAnsi"/>
          <w:lang w:val="lv-LV"/>
        </w:rPr>
        <w:tab/>
      </w:r>
      <w:r w:rsidRPr="00057301">
        <w:rPr>
          <w:rFonts w:cstheme="minorHAnsi"/>
          <w:lang w:val="lv-LV"/>
        </w:rPr>
        <w:tab/>
      </w:r>
      <w:r w:rsidRPr="00057301">
        <w:rPr>
          <w:rFonts w:cstheme="minorHAnsi"/>
          <w:lang w:val="lv-LV"/>
        </w:rPr>
        <w:tab/>
      </w:r>
      <w:r w:rsidRPr="00057301">
        <w:rPr>
          <w:rFonts w:cstheme="minorHAnsi"/>
          <w:lang w:val="lv-LV"/>
        </w:rPr>
        <w:tab/>
      </w:r>
      <w:r w:rsidRPr="00057301">
        <w:rPr>
          <w:rFonts w:cstheme="minorHAnsi"/>
          <w:lang w:val="lv-LV"/>
        </w:rPr>
        <w:tab/>
      </w:r>
      <w:r w:rsidRPr="00057301">
        <w:rPr>
          <w:rFonts w:cstheme="minorHAnsi"/>
          <w:lang w:val="lv-LV"/>
        </w:rPr>
        <w:tab/>
      </w:r>
      <w:r w:rsidRPr="00057301">
        <w:rPr>
          <w:rFonts w:cstheme="minorHAnsi"/>
          <w:lang w:val="lv-LV"/>
        </w:rPr>
        <w:tab/>
        <w:t>R.Dūda</w:t>
      </w:r>
    </w:p>
    <w:p w14:paraId="0072A6B6" w14:textId="0CE248FA" w:rsidR="00296560" w:rsidRPr="00057301" w:rsidRDefault="00296560" w:rsidP="00296560">
      <w:pPr>
        <w:spacing w:before="160" w:after="0" w:line="240" w:lineRule="auto"/>
        <w:ind w:left="360"/>
        <w:jc w:val="both"/>
        <w:rPr>
          <w:rFonts w:cstheme="minorHAnsi"/>
          <w:lang w:val="lv-LV"/>
        </w:rPr>
      </w:pPr>
      <w:r w:rsidRPr="00057301">
        <w:rPr>
          <w:rFonts w:cstheme="minorHAnsi"/>
          <w:lang w:val="lv-LV"/>
        </w:rPr>
        <w:t>Padomes loceklis</w:t>
      </w:r>
      <w:r w:rsidRPr="00057301">
        <w:rPr>
          <w:rFonts w:cstheme="minorHAnsi"/>
          <w:lang w:val="lv-LV"/>
        </w:rPr>
        <w:tab/>
      </w:r>
      <w:r w:rsidRPr="00057301">
        <w:rPr>
          <w:rFonts w:cstheme="minorHAnsi"/>
          <w:lang w:val="lv-LV"/>
        </w:rPr>
        <w:tab/>
      </w:r>
      <w:r w:rsidRPr="00057301">
        <w:rPr>
          <w:rFonts w:cstheme="minorHAnsi"/>
          <w:lang w:val="lv-LV"/>
        </w:rPr>
        <w:tab/>
      </w:r>
      <w:r w:rsidRPr="00057301">
        <w:rPr>
          <w:rFonts w:cstheme="minorHAnsi"/>
          <w:lang w:val="lv-LV"/>
        </w:rPr>
        <w:tab/>
      </w:r>
      <w:r w:rsidRPr="00057301">
        <w:rPr>
          <w:rFonts w:cstheme="minorHAnsi"/>
          <w:lang w:val="lv-LV"/>
        </w:rPr>
        <w:tab/>
      </w:r>
      <w:r w:rsidRPr="00057301">
        <w:rPr>
          <w:rFonts w:cstheme="minorHAnsi"/>
          <w:lang w:val="lv-LV"/>
        </w:rPr>
        <w:tab/>
      </w:r>
      <w:r w:rsidRPr="00057301">
        <w:rPr>
          <w:rFonts w:cstheme="minorHAnsi"/>
          <w:lang w:val="lv-LV"/>
        </w:rPr>
        <w:tab/>
      </w:r>
      <w:r w:rsidRPr="00057301">
        <w:rPr>
          <w:rFonts w:cstheme="minorHAnsi"/>
          <w:lang w:val="lv-LV"/>
        </w:rPr>
        <w:tab/>
        <w:t>A.Leimanis</w:t>
      </w:r>
    </w:p>
    <w:p w14:paraId="2AD2B2CC" w14:textId="5BA31AB4" w:rsidR="00296560" w:rsidRPr="00057301" w:rsidRDefault="00296560" w:rsidP="00296560">
      <w:pPr>
        <w:spacing w:before="160" w:after="0" w:line="240" w:lineRule="auto"/>
        <w:ind w:left="360"/>
        <w:jc w:val="both"/>
        <w:rPr>
          <w:rFonts w:cstheme="minorHAnsi"/>
          <w:lang w:val="lv-LV"/>
        </w:rPr>
      </w:pPr>
      <w:r w:rsidRPr="00057301">
        <w:rPr>
          <w:rFonts w:cstheme="minorHAnsi"/>
          <w:lang w:val="lv-LV"/>
        </w:rPr>
        <w:t>Padomes loceklis</w:t>
      </w:r>
      <w:r w:rsidRPr="00057301">
        <w:rPr>
          <w:rFonts w:cstheme="minorHAnsi"/>
          <w:lang w:val="lv-LV"/>
        </w:rPr>
        <w:tab/>
      </w:r>
      <w:r w:rsidRPr="00057301">
        <w:rPr>
          <w:rFonts w:cstheme="minorHAnsi"/>
          <w:lang w:val="lv-LV"/>
        </w:rPr>
        <w:tab/>
      </w:r>
      <w:r w:rsidRPr="00057301">
        <w:rPr>
          <w:rFonts w:cstheme="minorHAnsi"/>
          <w:lang w:val="lv-LV"/>
        </w:rPr>
        <w:tab/>
      </w:r>
      <w:r w:rsidRPr="00057301">
        <w:rPr>
          <w:rFonts w:cstheme="minorHAnsi"/>
          <w:lang w:val="lv-LV"/>
        </w:rPr>
        <w:tab/>
      </w:r>
      <w:r w:rsidRPr="00057301">
        <w:rPr>
          <w:rFonts w:cstheme="minorHAnsi"/>
          <w:lang w:val="lv-LV"/>
        </w:rPr>
        <w:tab/>
      </w:r>
      <w:r w:rsidRPr="00057301">
        <w:rPr>
          <w:rFonts w:cstheme="minorHAnsi"/>
          <w:lang w:val="lv-LV"/>
        </w:rPr>
        <w:tab/>
      </w:r>
      <w:r w:rsidRPr="00057301">
        <w:rPr>
          <w:rFonts w:cstheme="minorHAnsi"/>
          <w:lang w:val="lv-LV"/>
        </w:rPr>
        <w:tab/>
      </w:r>
      <w:r w:rsidRPr="00057301">
        <w:rPr>
          <w:rFonts w:cstheme="minorHAnsi"/>
          <w:lang w:val="lv-LV"/>
        </w:rPr>
        <w:tab/>
        <w:t>I.Blumbergs</w:t>
      </w:r>
    </w:p>
    <w:p w14:paraId="72BA4F9A" w14:textId="77777777" w:rsidR="00296560" w:rsidRPr="00057301" w:rsidRDefault="00296560" w:rsidP="00296560">
      <w:pPr>
        <w:spacing w:before="160" w:after="0" w:line="240" w:lineRule="auto"/>
        <w:ind w:left="360"/>
        <w:jc w:val="both"/>
        <w:rPr>
          <w:rFonts w:cstheme="minorHAnsi"/>
          <w:lang w:val="lv-LV"/>
        </w:rPr>
      </w:pPr>
    </w:p>
    <w:p w14:paraId="2574BC44" w14:textId="77777777" w:rsidR="00296560" w:rsidRPr="00057301" w:rsidRDefault="00296560" w:rsidP="00296560">
      <w:pPr>
        <w:spacing w:before="160" w:after="0" w:line="240" w:lineRule="auto"/>
        <w:ind w:left="360"/>
        <w:jc w:val="both"/>
        <w:rPr>
          <w:rFonts w:cstheme="minorHAnsi"/>
          <w:lang w:val="lv-LV"/>
        </w:rPr>
      </w:pPr>
    </w:p>
    <w:p w14:paraId="2AAE387E" w14:textId="1C332B9D" w:rsidR="00296560" w:rsidRPr="00296560" w:rsidRDefault="00296560" w:rsidP="00296560">
      <w:pPr>
        <w:spacing w:before="160" w:after="0" w:line="240" w:lineRule="auto"/>
        <w:ind w:left="360"/>
        <w:jc w:val="center"/>
        <w:rPr>
          <w:rFonts w:cstheme="minorHAnsi"/>
          <w:lang w:val="lv-LV"/>
        </w:rPr>
      </w:pPr>
      <w:r w:rsidRPr="00057301">
        <w:rPr>
          <w:rFonts w:cstheme="minorHAnsi"/>
          <w:lang w:val="lv-LV"/>
        </w:rPr>
        <w:t>DOKUMENTS PARAKSTĪTS AR DROŠU ELEKTRONISKO PARAKSTU UN SATUR LAIKA ZĪMOGU</w:t>
      </w:r>
    </w:p>
    <w:sectPr w:rsidR="00296560" w:rsidRPr="00296560" w:rsidSect="000612CF">
      <w:footerReference w:type="default" r:id="rId9"/>
      <w:pgSz w:w="11906" w:h="16838"/>
      <w:pgMar w:top="1008" w:right="1080" w:bottom="864" w:left="108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21F99" w14:textId="77777777" w:rsidR="00E93FB6" w:rsidRDefault="00E93FB6" w:rsidP="00296560">
      <w:pPr>
        <w:spacing w:after="0" w:line="240" w:lineRule="auto"/>
      </w:pPr>
      <w:r>
        <w:separator/>
      </w:r>
    </w:p>
  </w:endnote>
  <w:endnote w:type="continuationSeparator" w:id="0">
    <w:p w14:paraId="7DAB4E02" w14:textId="77777777" w:rsidR="00E93FB6" w:rsidRDefault="00E93FB6" w:rsidP="00296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5F4DE" w14:textId="77777777" w:rsidR="00296560" w:rsidRDefault="002965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8B959" w14:textId="77777777" w:rsidR="00E93FB6" w:rsidRDefault="00E93FB6" w:rsidP="00296560">
      <w:pPr>
        <w:spacing w:after="0" w:line="240" w:lineRule="auto"/>
      </w:pPr>
      <w:r>
        <w:separator/>
      </w:r>
    </w:p>
  </w:footnote>
  <w:footnote w:type="continuationSeparator" w:id="0">
    <w:p w14:paraId="0CCA8DEF" w14:textId="77777777" w:rsidR="00E93FB6" w:rsidRDefault="00E93FB6" w:rsidP="002965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72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E64162"/>
    <w:multiLevelType w:val="hybridMultilevel"/>
    <w:tmpl w:val="2B221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533633">
    <w:abstractNumId w:val="1"/>
  </w:num>
  <w:num w:numId="2" w16cid:durableId="674653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0A0"/>
    <w:rsid w:val="0000279A"/>
    <w:rsid w:val="000568F8"/>
    <w:rsid w:val="00057301"/>
    <w:rsid w:val="000612CF"/>
    <w:rsid w:val="000622DE"/>
    <w:rsid w:val="00077EA5"/>
    <w:rsid w:val="00097575"/>
    <w:rsid w:val="000A72B1"/>
    <w:rsid w:val="000A7D11"/>
    <w:rsid w:val="000F3019"/>
    <w:rsid w:val="001D426F"/>
    <w:rsid w:val="001F4A0C"/>
    <w:rsid w:val="002411FB"/>
    <w:rsid w:val="00243487"/>
    <w:rsid w:val="002531D7"/>
    <w:rsid w:val="00296560"/>
    <w:rsid w:val="003458FE"/>
    <w:rsid w:val="00352393"/>
    <w:rsid w:val="0042338B"/>
    <w:rsid w:val="004B74CE"/>
    <w:rsid w:val="004E7692"/>
    <w:rsid w:val="005504CC"/>
    <w:rsid w:val="005619AE"/>
    <w:rsid w:val="005A4A5C"/>
    <w:rsid w:val="00600300"/>
    <w:rsid w:val="00633878"/>
    <w:rsid w:val="00671660"/>
    <w:rsid w:val="00681893"/>
    <w:rsid w:val="006A0704"/>
    <w:rsid w:val="006E293F"/>
    <w:rsid w:val="00794422"/>
    <w:rsid w:val="007E7DF5"/>
    <w:rsid w:val="00811622"/>
    <w:rsid w:val="008531E9"/>
    <w:rsid w:val="00866D34"/>
    <w:rsid w:val="008A275E"/>
    <w:rsid w:val="008D4497"/>
    <w:rsid w:val="008F00A0"/>
    <w:rsid w:val="00942FA8"/>
    <w:rsid w:val="0099637A"/>
    <w:rsid w:val="009C518B"/>
    <w:rsid w:val="00A36102"/>
    <w:rsid w:val="00A4302A"/>
    <w:rsid w:val="00A435CD"/>
    <w:rsid w:val="00A8566B"/>
    <w:rsid w:val="00AC7C62"/>
    <w:rsid w:val="00B02AA6"/>
    <w:rsid w:val="00BE5FE3"/>
    <w:rsid w:val="00BF3691"/>
    <w:rsid w:val="00C744F8"/>
    <w:rsid w:val="00C92F6E"/>
    <w:rsid w:val="00CA1CDF"/>
    <w:rsid w:val="00D21F86"/>
    <w:rsid w:val="00D2219A"/>
    <w:rsid w:val="00D472F5"/>
    <w:rsid w:val="00D57696"/>
    <w:rsid w:val="00E13F1F"/>
    <w:rsid w:val="00E171BF"/>
    <w:rsid w:val="00E373D4"/>
    <w:rsid w:val="00E93FB6"/>
    <w:rsid w:val="00F62536"/>
    <w:rsid w:val="00F9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55F14"/>
  <w15:chartTrackingRefBased/>
  <w15:docId w15:val="{7C193020-478D-40DD-81B5-42956EDFD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6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68F8"/>
    <w:pPr>
      <w:ind w:left="720"/>
      <w:contextualSpacing/>
    </w:pPr>
  </w:style>
  <w:style w:type="paragraph" w:styleId="Revision">
    <w:name w:val="Revision"/>
    <w:hidden/>
    <w:uiPriority w:val="99"/>
    <w:semiHidden/>
    <w:rsid w:val="000622D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716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16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16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16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166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744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44F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65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560"/>
  </w:style>
  <w:style w:type="paragraph" w:styleId="Footer">
    <w:name w:val="footer"/>
    <w:basedOn w:val="Normal"/>
    <w:link w:val="FooterChar"/>
    <w:uiPriority w:val="99"/>
    <w:unhideWhenUsed/>
    <w:rsid w:val="002965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0706B-F4E4-4CF0-AA43-97522B711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1248</Words>
  <Characters>7114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Strogonova</dc:creator>
  <cp:keywords/>
  <dc:description/>
  <cp:lastModifiedBy>Sabīne Plūme</cp:lastModifiedBy>
  <cp:revision>4</cp:revision>
  <cp:lastPrinted>2023-04-18T06:26:00Z</cp:lastPrinted>
  <dcterms:created xsi:type="dcterms:W3CDTF">2023-05-09T13:12:00Z</dcterms:created>
  <dcterms:modified xsi:type="dcterms:W3CDTF">2023-10-04T08:42:00Z</dcterms:modified>
</cp:coreProperties>
</file>